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w:t>
      </w:r>
      <w:r>
        <w:rPr>
          <w:rFonts w:hint="eastAsia" w:ascii="Arial" w:hAnsi="Arial" w:cs="Arial"/>
          <w:b/>
          <w:bCs/>
          <w:snapToGrid w:val="0"/>
          <w:kern w:val="0"/>
          <w:sz w:val="24"/>
          <w:lang w:val="en-US" w:eastAsia="zh-CN"/>
        </w:rPr>
        <w:t xml:space="preserve">20   </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lang w:val="en-US" w:eastAsia="zh-CN"/>
        </w:rPr>
        <w:t xml:space="preserve"> </w:t>
      </w:r>
      <w:r>
        <w:rPr>
          <w:rFonts w:ascii="Arial" w:hAnsi="Arial" w:cs="Arial"/>
          <w:b/>
          <w:bCs/>
          <w:snapToGrid w:val="0"/>
          <w:kern w:val="0"/>
          <w:sz w:val="24"/>
        </w:rPr>
        <w:t>R2-221</w:t>
      </w:r>
      <w:r>
        <w:rPr>
          <w:rFonts w:hint="eastAsia" w:ascii="Arial" w:hAnsi="Arial" w:cs="Arial"/>
          <w:b/>
          <w:bCs/>
          <w:snapToGrid w:val="0"/>
          <w:kern w:val="0"/>
          <w:sz w:val="24"/>
          <w:lang w:val="en-US" w:eastAsia="zh-CN"/>
        </w:rPr>
        <w:t>2279</w:t>
      </w:r>
    </w:p>
    <w:p>
      <w:pPr>
        <w:overflowPunct w:val="0"/>
        <w:autoSpaceDE w:val="0"/>
        <w:autoSpaceDN w:val="0"/>
        <w:adjustRightInd w:val="0"/>
        <w:snapToGrid w:val="0"/>
        <w:spacing w:line="240" w:lineRule="auto"/>
        <w:jc w:val="left"/>
        <w:textAlignment w:val="baseline"/>
        <w:rPr>
          <w:rFonts w:ascii="Arial" w:hAnsi="Arial" w:cs="Arial"/>
          <w:b/>
          <w:bCs/>
          <w:kern w:val="0"/>
          <w:sz w:val="24"/>
          <w:lang w:val="en-GB"/>
        </w:rPr>
      </w:pPr>
      <w:bookmarkStart w:id="0" w:name="OLE_LINK1"/>
      <w:r>
        <w:rPr>
          <w:rFonts w:hint="eastAsia" w:ascii="Arial" w:hAnsi="Arial" w:cs="Arial"/>
          <w:b/>
          <w:bCs/>
          <w:kern w:val="0"/>
          <w:sz w:val="24"/>
          <w:lang w:val="en-US" w:eastAsia="zh-CN"/>
        </w:rPr>
        <w:t xml:space="preserve">Toulouse, France, </w:t>
      </w:r>
      <w:r>
        <w:rPr>
          <w:rFonts w:ascii="Arial" w:hAnsi="Arial" w:cs="Arial"/>
          <w:b/>
          <w:bCs/>
          <w:kern w:val="0"/>
          <w:sz w:val="24"/>
        </w:rPr>
        <w:t>1</w:t>
      </w:r>
      <w:r>
        <w:rPr>
          <w:rFonts w:hint="eastAsia" w:ascii="Arial" w:hAnsi="Arial" w:cs="Arial"/>
          <w:b/>
          <w:bCs/>
          <w:kern w:val="0"/>
          <w:sz w:val="24"/>
          <w:lang w:val="en-US" w:eastAsia="zh-CN"/>
        </w:rPr>
        <w:t>4</w:t>
      </w:r>
      <w:r>
        <w:rPr>
          <w:rFonts w:ascii="Arial" w:hAnsi="Arial" w:cs="Arial"/>
          <w:b/>
          <w:bCs/>
          <w:kern w:val="0"/>
          <w:sz w:val="24"/>
          <w:vertAlign w:val="superscript"/>
        </w:rPr>
        <w:t>th</w:t>
      </w:r>
      <w:r>
        <w:rPr>
          <w:rFonts w:ascii="Arial" w:hAnsi="Arial" w:cs="Arial"/>
          <w:b/>
          <w:bCs/>
          <w:kern w:val="0"/>
          <w:sz w:val="24"/>
        </w:rPr>
        <w:t xml:space="preserve"> – 1</w:t>
      </w:r>
      <w:r>
        <w:rPr>
          <w:rFonts w:hint="eastAsia" w:ascii="Arial" w:hAnsi="Arial" w:cs="Arial"/>
          <w:b/>
          <w:bCs/>
          <w:kern w:val="0"/>
          <w:sz w:val="24"/>
          <w:lang w:val="en-US" w:eastAsia="zh-CN"/>
        </w:rPr>
        <w:t>8</w:t>
      </w:r>
      <w:r>
        <w:rPr>
          <w:rFonts w:ascii="Arial" w:hAnsi="Arial" w:cs="Arial"/>
          <w:b/>
          <w:bCs/>
          <w:kern w:val="0"/>
          <w:sz w:val="24"/>
          <w:vertAlign w:val="superscript"/>
        </w:rPr>
        <w:t>th</w:t>
      </w:r>
      <w:r>
        <w:rPr>
          <w:rFonts w:ascii="Arial" w:hAnsi="Arial" w:cs="Arial"/>
          <w:b/>
          <w:bCs/>
          <w:kern w:val="0"/>
          <w:sz w:val="24"/>
        </w:rPr>
        <w:t xml:space="preserve"> </w:t>
      </w:r>
      <w:r>
        <w:rPr>
          <w:rFonts w:hint="eastAsia" w:ascii="Arial" w:hAnsi="Arial" w:cs="Arial"/>
          <w:b/>
          <w:bCs/>
          <w:kern w:val="0"/>
          <w:sz w:val="24"/>
          <w:lang w:val="en-US" w:eastAsia="zh-CN"/>
        </w:rPr>
        <w:t>November</w:t>
      </w:r>
      <w:r>
        <w:rPr>
          <w:rFonts w:ascii="Arial" w:hAnsi="Arial" w:cs="Arial"/>
          <w:b/>
          <w:bCs/>
          <w:kern w:val="0"/>
          <w:sz w:val="24"/>
        </w:rPr>
        <w:t xml:space="preserve"> 2022</w:t>
      </w:r>
      <w:r>
        <w:rPr>
          <w:rFonts w:ascii="Arial" w:hAnsi="Arial" w:cs="Arial"/>
          <w:b/>
          <w:bCs/>
          <w:kern w:val="0"/>
          <w:sz w:val="24"/>
          <w:lang w:val="en-GB"/>
        </w:rPr>
        <w:tab/>
      </w:r>
      <w:r>
        <w:rPr>
          <w:rFonts w:hint="eastAsia" w:ascii="Arial" w:hAnsi="Arial" w:cs="Arial"/>
          <w:b/>
          <w:bCs/>
          <w:kern w:val="0"/>
          <w:sz w:val="24"/>
          <w:lang w:val="en-US" w:eastAsia="zh-CN"/>
        </w:rPr>
        <w:t xml:space="preserve">     </w:t>
      </w:r>
      <w:bookmarkEnd w:id="0"/>
      <w:r>
        <w:rPr>
          <w:rFonts w:hint="eastAsia" w:ascii="Arial" w:hAnsi="Arial" w:cs="Arial"/>
          <w:b/>
          <w:bCs/>
          <w:kern w:val="0"/>
          <w:sz w:val="24"/>
          <w:lang w:val="en-US" w:eastAsia="zh-CN"/>
        </w:rPr>
        <w:t xml:space="preserve"> </w:t>
      </w:r>
      <w:r>
        <w:rPr>
          <w:rFonts w:ascii="Arial" w:hAnsi="Arial" w:cs="Arial"/>
          <w:b/>
          <w:bCs/>
          <w:kern w:val="0"/>
          <w:sz w:val="24"/>
          <w:lang w:val="en-GB"/>
        </w:rPr>
        <w:tab/>
      </w:r>
      <w:r>
        <w:rPr>
          <w:rFonts w:ascii="Arial" w:hAnsi="Arial" w:cs="Arial"/>
          <w:b/>
          <w:bCs/>
          <w:kern w:val="0"/>
          <w:sz w:val="24"/>
          <w:lang w:val="en-GB"/>
        </w:rPr>
        <w:tab/>
      </w:r>
      <w:r>
        <w:rPr>
          <w:rFonts w:ascii="Arial" w:hAnsi="Arial" w:cs="Arial"/>
          <w:b/>
          <w:bCs/>
          <w:kern w:val="0"/>
          <w:sz w:val="24"/>
          <w:lang w:val="en-GB"/>
        </w:rPr>
        <w:t xml:space="preserve">              </w:t>
      </w:r>
      <w:r>
        <w:rPr>
          <w:rFonts w:hint="eastAsia" w:ascii="Arial" w:hAnsi="Arial" w:cs="Arial"/>
          <w:b/>
          <w:bCs/>
          <w:kern w:val="0"/>
          <w:sz w:val="24"/>
          <w:lang w:val="en-US" w:eastAsia="zh-CN"/>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hint="eastAsia" w:ascii="Arial" w:hAnsi="Arial" w:cs="Arial"/>
          <w:b/>
          <w:bCs/>
          <w:kern w:val="0"/>
          <w:sz w:val="24"/>
        </w:rPr>
        <w:t xml:space="preserve">  </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spacing w:line="240" w:lineRule="auto"/>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Consideration on coverage enhancement in NTN</w:t>
      </w:r>
    </w:p>
    <w:p>
      <w:pPr>
        <w:overflowPunct w:val="0"/>
        <w:autoSpaceDE w:val="0"/>
        <w:autoSpaceDN w:val="0"/>
        <w:adjustRightInd w:val="0"/>
        <w:snapToGrid w:val="0"/>
        <w:spacing w:line="240" w:lineRule="auto"/>
        <w:jc w:val="left"/>
        <w:textAlignment w:val="baseline"/>
        <w:rPr>
          <w:rFonts w:hint="eastAsia"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hint="eastAsia" w:ascii="Arial" w:hAnsi="Arial" w:cs="Arial"/>
          <w:b/>
          <w:bCs/>
          <w:snapToGrid w:val="0"/>
          <w:kern w:val="0"/>
          <w:sz w:val="24"/>
        </w:rPr>
        <w:tab/>
      </w:r>
      <w:r>
        <w:rPr>
          <w:rFonts w:ascii="Arial" w:hAnsi="Arial" w:cs="Arial"/>
          <w:b/>
          <w:bCs/>
          <w:snapToGrid w:val="0"/>
          <w:kern w:val="0"/>
          <w:sz w:val="24"/>
        </w:rPr>
        <w:t>8.7.</w:t>
      </w:r>
      <w:r>
        <w:rPr>
          <w:rFonts w:hint="eastAsia" w:ascii="Arial" w:hAnsi="Arial" w:cs="Arial"/>
          <w:b/>
          <w:bCs/>
          <w:snapToGrid w:val="0"/>
          <w:kern w:val="0"/>
          <w:sz w:val="24"/>
          <w:lang w:val="en-US" w:eastAsia="zh-CN"/>
        </w:rPr>
        <w:t>2</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bidi w:val="0"/>
        <w:rPr>
          <w:rFonts w:hint="default"/>
          <w:lang w:val="en-US"/>
        </w:rPr>
      </w:pPr>
      <w:r>
        <w:rPr>
          <w:rFonts w:hint="eastAsia"/>
          <w:lang w:val="en-US" w:eastAsia="zh-CN"/>
        </w:rPr>
        <w:t>Last meeting protocol overhead reduction for voice service was discussed and it is majority view that on this topic no further discussion is needed in RAN2 unless there are further RAN1 inputs.</w:t>
      </w:r>
      <w:r>
        <w:t xml:space="preserve"> </w:t>
      </w:r>
      <w:r>
        <w:rPr>
          <w:rFonts w:hint="eastAsia"/>
          <w:lang w:val="en-US" w:eastAsia="zh-CN"/>
        </w:rPr>
        <w:t>Therefore this contribution intends to discuss remaining coverage enhancement aspects, taking into account relevant RAN1 progress.</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b w:val="0"/>
          <w:bCs w:val="0"/>
          <w:lang w:val="en-US" w:eastAsia="zh-CN"/>
        </w:rPr>
      </w:pPr>
      <w:bookmarkStart w:id="3" w:name="_Toc12718547"/>
      <w:r>
        <w:rPr>
          <w:rFonts w:hint="eastAsia" w:ascii="Arial" w:hAnsi="Arial" w:cs="Arial"/>
          <w:b w:val="0"/>
          <w:bCs w:val="0"/>
          <w:kern w:val="0"/>
          <w:sz w:val="32"/>
          <w:szCs w:val="36"/>
        </w:rPr>
        <w:t>Discussion</w:t>
      </w:r>
    </w:p>
    <w:p>
      <w:pPr>
        <w:pStyle w:val="3"/>
        <w:numPr>
          <w:ilvl w:val="1"/>
          <w:numId w:val="3"/>
        </w:numPr>
        <w:tabs>
          <w:tab w:val="clear" w:pos="432"/>
        </w:tabs>
        <w:overflowPunct/>
        <w:autoSpaceDE/>
        <w:autoSpaceDN/>
        <w:adjustRightInd/>
        <w:spacing w:before="40" w:after="0" w:line="259" w:lineRule="auto"/>
        <w:textAlignment w:val="auto"/>
        <w:rPr>
          <w:rFonts w:cs="Arial"/>
          <w:b w:val="0"/>
          <w:bCs w:val="0"/>
          <w:sz w:val="28"/>
          <w:szCs w:val="28"/>
        </w:rPr>
      </w:pPr>
      <w:r>
        <w:rPr>
          <w:rFonts w:hint="eastAsia" w:eastAsia="宋体" w:cs="Arial"/>
          <w:b w:val="0"/>
          <w:bCs w:val="0"/>
          <w:sz w:val="28"/>
          <w:szCs w:val="28"/>
          <w:lang w:val="en-US" w:eastAsia="zh-CN"/>
        </w:rPr>
        <w:t xml:space="preserve">On segmentation-based pre-compensation </w:t>
      </w:r>
    </w:p>
    <w:p>
      <w:pPr>
        <w:bidi w:val="0"/>
        <w:rPr>
          <w:rFonts w:hint="eastAsia"/>
          <w:lang w:val="en-US" w:eastAsia="zh-CN"/>
        </w:rPr>
      </w:pPr>
      <w:r>
        <w:rPr>
          <w:rFonts w:hint="eastAsia"/>
          <w:lang w:val="en-US" w:eastAsia="zh-CN"/>
        </w:rPr>
        <w:t>In R17, segmentation based pre-compensation has been introduced in IoT NTN to compensate the varied TA/Doppler drift issue in repetition transmission. According to existing specs, UE will adjust its TA autonomously when perform transmission, which could result in overlapping between different PUSCH repetition if the TA variance is larger than the PUSCH transmission duration. And the situation got worse when repetition number increases.</w:t>
      </w:r>
    </w:p>
    <w:p>
      <w:pPr>
        <w:bidi w:val="0"/>
        <w:rPr>
          <w:rFonts w:hint="default"/>
          <w:b/>
          <w:bCs/>
          <w:lang w:val="en-US" w:eastAsia="zh-CN"/>
        </w:rPr>
      </w:pPr>
      <w:r>
        <w:rPr>
          <w:rFonts w:hint="eastAsia"/>
          <w:b/>
          <w:bCs/>
          <w:lang w:val="en-US" w:eastAsia="zh-CN"/>
        </w:rPr>
        <w:t>Observation 1: Segmentation based pre-compensation has been introduced in R17 IoT NTN to handle frequent varied TA/Doppler drift issue in UL repetition transmission.</w:t>
      </w:r>
    </w:p>
    <w:p>
      <w:pPr>
        <w:bidi w:val="0"/>
        <w:rPr>
          <w:rFonts w:hint="eastAsia"/>
          <w:lang w:val="en-US" w:eastAsia="zh-CN"/>
        </w:rPr>
      </w:pPr>
      <w:r>
        <w:rPr>
          <w:rFonts w:hint="eastAsia"/>
          <w:lang w:val="en-US" w:eastAsia="zh-CN"/>
        </w:rPr>
        <w:t>In R18 NTN coverage enhancement discussion in order to improve coverage and mitigate the performance gap for voice service, RAN1 is considering increase repetition number together with DMRS bundling. If repetition number is increased, the TA variance issue could be worse considering both movement at satellites and UEs. For example, if UE use the same TA for each repetition it could risk losing synchronization in uplink transmission. But if UE does adjust its TA than it is possible the repetition transmission could collapse. Moreover, as evaluated in our paper [1], to avoid mitigate the performance gain of DMRS bundling, segmented pre-comensation is needed to allow good coherence of bundled DMRSs, which could give at least 1dB extra gain, depending on repetition number.</w:t>
      </w:r>
    </w:p>
    <w:p>
      <w:pPr>
        <w:bidi w:val="0"/>
        <w:rPr>
          <w:rFonts w:hint="default"/>
          <w:b/>
          <w:bCs/>
          <w:lang w:val="en-US" w:eastAsia="zh-CN"/>
        </w:rPr>
      </w:pPr>
      <w:r>
        <w:rPr>
          <w:rFonts w:hint="eastAsia"/>
          <w:b/>
          <w:bCs/>
          <w:lang w:val="en-US" w:eastAsia="zh-CN"/>
        </w:rPr>
        <w:t>Observation 2: Repetition number might be increased in R18 NTN to improve coverage, which will worse the TA variance issue in UL repetition based transmission, thus lead to either risk of losing UL synchronization or UL transmission collapse.</w:t>
      </w:r>
    </w:p>
    <w:p>
      <w:pPr>
        <w:bidi w:val="0"/>
        <w:rPr>
          <w:rFonts w:hint="default"/>
          <w:b/>
          <w:bCs/>
          <w:lang w:val="en-US" w:eastAsia="zh-CN"/>
        </w:rPr>
      </w:pPr>
      <w:r>
        <w:rPr>
          <w:rFonts w:hint="eastAsia"/>
          <w:b/>
          <w:bCs/>
          <w:lang w:val="en-US" w:eastAsia="zh-CN"/>
        </w:rPr>
        <w:t>Observation 3: Segmented pre-compensation is needed to avoid performance down-grade of DMRS bundling.</w:t>
      </w:r>
    </w:p>
    <w:p>
      <w:pPr>
        <w:bidi w:val="0"/>
        <w:rPr>
          <w:rFonts w:hint="default"/>
          <w:lang w:val="en-US" w:eastAsia="zh-CN"/>
        </w:rPr>
      </w:pPr>
      <w:r>
        <w:rPr>
          <w:rFonts w:hint="eastAsia"/>
          <w:lang w:val="en-US" w:eastAsia="zh-CN"/>
        </w:rPr>
        <w:t xml:space="preserve">With the above observations, since segmentation based pre-compensation has been considered as a useful tool for IoT NTN, it is proposed to adopt the same solution for NR NTN as well. However the details can be ffs, but it shall be fine to take IoT NTN mechanism as baseline. </w:t>
      </w:r>
    </w:p>
    <w:p>
      <w:pPr>
        <w:bidi w:val="0"/>
        <w:rPr>
          <w:rFonts w:hint="default"/>
          <w:b/>
          <w:bCs/>
          <w:lang w:val="en-US" w:eastAsia="zh-CN"/>
        </w:rPr>
      </w:pPr>
      <w:r>
        <w:rPr>
          <w:rFonts w:hint="eastAsia"/>
          <w:b/>
          <w:bCs/>
          <w:lang w:val="en-US" w:eastAsia="zh-CN"/>
        </w:rPr>
        <w:t>Proposal 1: Segmented pre-compensation is supported in NR NTN. Details ffs.</w:t>
      </w:r>
    </w:p>
    <w:p>
      <w:pPr>
        <w:bidi w:val="0"/>
        <w:rPr>
          <w:rFonts w:hint="default"/>
          <w:b/>
          <w:bCs/>
          <w:lang w:val="en-US" w:eastAsia="zh-CN"/>
        </w:rPr>
      </w:pPr>
    </w:p>
    <w:bookmarkEnd w:id="3"/>
    <w:p>
      <w:pPr>
        <w:pStyle w:val="3"/>
        <w:numPr>
          <w:ilvl w:val="1"/>
          <w:numId w:val="3"/>
        </w:numPr>
        <w:tabs>
          <w:tab w:val="clear" w:pos="432"/>
        </w:tabs>
        <w:overflowPunct/>
        <w:autoSpaceDE/>
        <w:autoSpaceDN/>
        <w:adjustRightInd/>
        <w:spacing w:before="40" w:after="0" w:line="259" w:lineRule="auto"/>
        <w:textAlignment w:val="auto"/>
        <w:rPr>
          <w:rFonts w:hint="eastAsia" w:eastAsia="宋体" w:cs="Arial"/>
          <w:b w:val="0"/>
          <w:bCs w:val="0"/>
          <w:sz w:val="28"/>
          <w:szCs w:val="28"/>
          <w:lang w:val="en-US" w:eastAsia="zh-CN"/>
        </w:rPr>
      </w:pPr>
      <w:r>
        <w:rPr>
          <w:rFonts w:hint="eastAsia" w:eastAsia="宋体" w:cs="Arial"/>
          <w:b w:val="0"/>
          <w:bCs w:val="0"/>
          <w:sz w:val="28"/>
          <w:szCs w:val="28"/>
          <w:lang w:val="en-US" w:eastAsia="zh-CN"/>
        </w:rPr>
        <w:t xml:space="preserve">Msg4 HARQ-ACK enhancement </w:t>
      </w:r>
    </w:p>
    <w:tbl>
      <w:tblPr>
        <w:tblStyle w:val="57"/>
        <w:tblW w:w="0" w:type="auto"/>
        <w:tblInd w:w="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10" w:type="dxa"/>
          </w:tcPr>
          <w:p>
            <w:pPr>
              <w:numPr>
                <w:ilvl w:val="0"/>
                <w:numId w:val="0"/>
              </w:numPr>
              <w:spacing w:line="240" w:lineRule="auto"/>
              <w:ind w:leftChars="0"/>
              <w:jc w:val="left"/>
              <w:rPr>
                <w:rFonts w:hint="default" w:ascii="Arial" w:hAnsi="Arial" w:cs="Arial" w:eastAsiaTheme="minorEastAsia"/>
                <w:bCs/>
                <w:kern w:val="0"/>
                <w:sz w:val="20"/>
                <w:szCs w:val="20"/>
                <w:vertAlign w:val="baseline"/>
                <w:lang w:val="en-US" w:eastAsia="zh-CN"/>
              </w:rPr>
            </w:pPr>
            <w:r>
              <w:rPr>
                <w:rFonts w:hint="eastAsia" w:ascii="Arial" w:hAnsi="Arial" w:cs="Arial"/>
                <w:b/>
                <w:bCs w:val="0"/>
                <w:kern w:val="0"/>
                <w:sz w:val="20"/>
                <w:szCs w:val="20"/>
                <w:highlight w:val="green"/>
                <w:vertAlign w:val="baseline"/>
                <w:lang w:val="en-US" w:eastAsia="zh-CN"/>
              </w:rPr>
              <w:t xml:space="preserve">Agreements RAN2#119bis-e </w:t>
            </w:r>
          </w:p>
          <w:p>
            <w:pPr>
              <w:jc w:val="both"/>
              <w:rPr>
                <w:rFonts w:ascii="Times" w:hAnsi="Times" w:eastAsia="宋体"/>
                <w:sz w:val="20"/>
                <w:szCs w:val="24"/>
                <w:lang w:val="en-US" w:eastAsia="en-US"/>
              </w:rPr>
            </w:pPr>
            <w:r>
              <w:rPr>
                <w:rFonts w:ascii="Times" w:hAnsi="Times" w:eastAsia="Batang"/>
                <w:sz w:val="20"/>
                <w:szCs w:val="18"/>
                <w:lang w:val="en-US" w:eastAsia="en-US"/>
              </w:rPr>
              <w:t xml:space="preserve">For </w:t>
            </w:r>
            <w:r>
              <w:rPr>
                <w:rFonts w:ascii="Times" w:hAnsi="Times" w:eastAsia="宋体"/>
                <w:sz w:val="20"/>
                <w:szCs w:val="24"/>
                <w:lang w:val="en-US" w:eastAsia="en-US"/>
              </w:rPr>
              <w:t>PUCCH repetition for Msg4 HARQ-ACK,</w:t>
            </w:r>
          </w:p>
          <w:p>
            <w:pPr>
              <w:numPr>
                <w:ilvl w:val="0"/>
                <w:numId w:val="4"/>
              </w:numPr>
              <w:snapToGrid w:val="0"/>
              <w:ind w:left="720"/>
              <w:rPr>
                <w:rFonts w:ascii="Times" w:hAnsi="Times" w:eastAsia="Batang"/>
                <w:sz w:val="20"/>
                <w:szCs w:val="18"/>
                <w:lang w:val="en-US" w:eastAsia="en-US"/>
              </w:rPr>
            </w:pPr>
            <w:r>
              <w:rPr>
                <w:rFonts w:ascii="Times" w:hAnsi="Times" w:eastAsia="Batang"/>
                <w:sz w:val="20"/>
                <w:szCs w:val="18"/>
                <w:lang w:val="en-US" w:eastAsia="en-US"/>
              </w:rPr>
              <w:t>Discuss the following options of procedure to perform repetitions</w:t>
            </w:r>
          </w:p>
          <w:p>
            <w:pPr>
              <w:numPr>
                <w:ilvl w:val="1"/>
                <w:numId w:val="4"/>
              </w:numPr>
              <w:snapToGrid w:val="0"/>
              <w:rPr>
                <w:rFonts w:ascii="Times" w:hAnsi="Times" w:eastAsia="Batang"/>
                <w:sz w:val="20"/>
                <w:szCs w:val="18"/>
                <w:lang w:val="en-US" w:eastAsia="en-US"/>
              </w:rPr>
            </w:pPr>
            <w:r>
              <w:rPr>
                <w:rFonts w:hint="eastAsia" w:ascii="Times" w:hAnsi="Times" w:eastAsia="Batang"/>
                <w:sz w:val="20"/>
                <w:szCs w:val="18"/>
                <w:lang w:val="en-US" w:eastAsia="en-US"/>
              </w:rPr>
              <w:t>O</w:t>
            </w:r>
            <w:r>
              <w:rPr>
                <w:rFonts w:ascii="Times" w:hAnsi="Times" w:eastAsia="Batang"/>
                <w:sz w:val="20"/>
                <w:szCs w:val="18"/>
                <w:lang w:val="en-US" w:eastAsia="en-US"/>
              </w:rPr>
              <w:t>ption 1: UE always performs repetition if configured in cell-specific manner</w:t>
            </w:r>
          </w:p>
          <w:p>
            <w:pPr>
              <w:numPr>
                <w:ilvl w:val="2"/>
                <w:numId w:val="4"/>
              </w:numPr>
              <w:snapToGrid w:val="0"/>
              <w:rPr>
                <w:rFonts w:ascii="Times" w:hAnsi="Times" w:eastAsia="Batang"/>
                <w:sz w:val="20"/>
                <w:szCs w:val="18"/>
                <w:lang w:val="en-US" w:eastAsia="en-US"/>
              </w:rPr>
            </w:pPr>
            <w:r>
              <w:rPr>
                <w:rFonts w:hint="eastAsia" w:ascii="Times" w:hAnsi="Times" w:eastAsia="Batang"/>
                <w:sz w:val="20"/>
                <w:szCs w:val="18"/>
                <w:lang w:val="en-US" w:eastAsia="en-US"/>
              </w:rPr>
              <w:t>F</w:t>
            </w:r>
            <w:r>
              <w:rPr>
                <w:rFonts w:ascii="Times" w:hAnsi="Times" w:eastAsia="Batang"/>
                <w:sz w:val="20"/>
                <w:szCs w:val="18"/>
                <w:lang w:val="en-US" w:eastAsia="en-US"/>
              </w:rPr>
              <w:t>FS: details of cell-specific configuration</w:t>
            </w:r>
          </w:p>
          <w:p>
            <w:pPr>
              <w:numPr>
                <w:ilvl w:val="2"/>
                <w:numId w:val="4"/>
              </w:numPr>
              <w:snapToGrid w:val="0"/>
              <w:rPr>
                <w:rFonts w:ascii="Times" w:hAnsi="Times" w:eastAsia="Batang"/>
                <w:sz w:val="20"/>
                <w:szCs w:val="18"/>
                <w:lang w:val="en-US" w:eastAsia="en-US"/>
              </w:rPr>
            </w:pPr>
            <w:r>
              <w:rPr>
                <w:rFonts w:hint="eastAsia" w:ascii="Times" w:hAnsi="Times" w:eastAsia="Batang"/>
                <w:sz w:val="20"/>
                <w:szCs w:val="18"/>
                <w:lang w:val="en-US" w:eastAsia="en-US"/>
              </w:rPr>
              <w:t>F</w:t>
            </w:r>
            <w:r>
              <w:rPr>
                <w:rFonts w:ascii="Times" w:hAnsi="Times" w:eastAsia="Batang"/>
                <w:sz w:val="20"/>
                <w:szCs w:val="18"/>
                <w:lang w:val="en-US" w:eastAsia="en-US"/>
              </w:rPr>
              <w:t>FS: behavior of UE being incapable of repetition</w:t>
            </w:r>
          </w:p>
          <w:p>
            <w:pPr>
              <w:numPr>
                <w:ilvl w:val="1"/>
                <w:numId w:val="4"/>
              </w:numPr>
              <w:snapToGrid w:val="0"/>
              <w:rPr>
                <w:rFonts w:ascii="Times" w:hAnsi="Times" w:eastAsia="Batang"/>
                <w:sz w:val="20"/>
                <w:szCs w:val="18"/>
                <w:lang w:val="en-US" w:eastAsia="en-US"/>
              </w:rPr>
            </w:pPr>
            <w:r>
              <w:rPr>
                <w:rFonts w:hint="eastAsia" w:ascii="Times" w:hAnsi="Times" w:eastAsia="Batang"/>
                <w:sz w:val="20"/>
                <w:szCs w:val="18"/>
                <w:lang w:val="en-US" w:eastAsia="en-US"/>
              </w:rPr>
              <w:t>O</w:t>
            </w:r>
            <w:r>
              <w:rPr>
                <w:rFonts w:ascii="Times" w:hAnsi="Times" w:eastAsia="Batang"/>
                <w:sz w:val="20"/>
                <w:szCs w:val="18"/>
                <w:lang w:val="en-US" w:eastAsia="en-US"/>
              </w:rPr>
              <w:t>ption 2: UE requests repetition and is dynamically indicated to perform repetition</w:t>
            </w:r>
          </w:p>
          <w:p>
            <w:pPr>
              <w:numPr>
                <w:ilvl w:val="2"/>
                <w:numId w:val="4"/>
              </w:numPr>
              <w:snapToGrid w:val="0"/>
              <w:rPr>
                <w:rFonts w:ascii="Times" w:hAnsi="Times" w:eastAsia="Batang"/>
                <w:sz w:val="20"/>
                <w:szCs w:val="18"/>
                <w:lang w:val="en-US" w:eastAsia="en-US"/>
              </w:rPr>
            </w:pPr>
            <w:r>
              <w:rPr>
                <w:rFonts w:hint="eastAsia" w:ascii="Times" w:hAnsi="Times" w:eastAsia="Batang"/>
                <w:sz w:val="20"/>
                <w:szCs w:val="18"/>
                <w:lang w:val="en-US" w:eastAsia="en-US"/>
              </w:rPr>
              <w:t>F</w:t>
            </w:r>
            <w:r>
              <w:rPr>
                <w:rFonts w:ascii="Times" w:hAnsi="Times" w:eastAsia="Batang"/>
                <w:sz w:val="20"/>
                <w:szCs w:val="18"/>
                <w:lang w:val="en-US" w:eastAsia="en-US"/>
              </w:rPr>
              <w:t>FS: details of repetition request</w:t>
            </w:r>
          </w:p>
          <w:p>
            <w:pPr>
              <w:numPr>
                <w:ilvl w:val="2"/>
                <w:numId w:val="4"/>
              </w:numPr>
              <w:snapToGrid w:val="0"/>
              <w:rPr>
                <w:rFonts w:ascii="Times" w:hAnsi="Times" w:eastAsia="Batang"/>
                <w:sz w:val="20"/>
                <w:szCs w:val="18"/>
                <w:lang w:val="en-US" w:eastAsia="en-US"/>
              </w:rPr>
            </w:pPr>
            <w:r>
              <w:rPr>
                <w:rFonts w:hint="eastAsia" w:ascii="Times" w:hAnsi="Times" w:eastAsia="Batang"/>
                <w:sz w:val="20"/>
                <w:szCs w:val="18"/>
                <w:lang w:val="en-US" w:eastAsia="en-US"/>
              </w:rPr>
              <w:t>F</w:t>
            </w:r>
            <w:r>
              <w:rPr>
                <w:rFonts w:ascii="Times" w:hAnsi="Times" w:eastAsia="Batang"/>
                <w:sz w:val="20"/>
                <w:szCs w:val="18"/>
                <w:lang w:val="en-US" w:eastAsia="en-US"/>
              </w:rPr>
              <w:t>FS: details of configuration and dynamic repetition indication</w:t>
            </w:r>
          </w:p>
          <w:p>
            <w:pPr>
              <w:numPr>
                <w:ilvl w:val="1"/>
                <w:numId w:val="4"/>
              </w:numPr>
              <w:snapToGrid w:val="0"/>
              <w:rPr>
                <w:rFonts w:ascii="Times" w:hAnsi="Times" w:eastAsia="Batang"/>
                <w:sz w:val="20"/>
                <w:szCs w:val="18"/>
                <w:lang w:val="en-US" w:eastAsia="en-US"/>
              </w:rPr>
            </w:pPr>
            <w:r>
              <w:rPr>
                <w:rFonts w:hint="eastAsia" w:ascii="Times" w:hAnsi="Times" w:eastAsia="Batang"/>
                <w:sz w:val="20"/>
                <w:szCs w:val="18"/>
                <w:lang w:val="en-US" w:eastAsia="en-US"/>
              </w:rPr>
              <w:t>O</w:t>
            </w:r>
            <w:r>
              <w:rPr>
                <w:rFonts w:ascii="Times" w:hAnsi="Times" w:eastAsia="Batang"/>
                <w:sz w:val="20"/>
                <w:szCs w:val="18"/>
                <w:lang w:val="en-US" w:eastAsia="en-US"/>
              </w:rPr>
              <w:t>ption 3: UE indicates repetition capability and is dynamically indicated to perform repetition</w:t>
            </w:r>
          </w:p>
          <w:p>
            <w:pPr>
              <w:numPr>
                <w:ilvl w:val="1"/>
                <w:numId w:val="4"/>
              </w:numPr>
              <w:snapToGrid w:val="0"/>
              <w:rPr>
                <w:rFonts w:ascii="Arial" w:hAnsi="Arial" w:cs="Arial"/>
                <w:bCs/>
                <w:kern w:val="0"/>
                <w:sz w:val="20"/>
                <w:szCs w:val="20"/>
                <w:vertAlign w:val="baseline"/>
              </w:rPr>
            </w:pPr>
            <w:r>
              <w:rPr>
                <w:rFonts w:ascii="Times" w:hAnsi="Times" w:eastAsia="Batang"/>
                <w:sz w:val="20"/>
                <w:szCs w:val="18"/>
                <w:lang w:val="en-US" w:eastAsia="en-US"/>
              </w:rPr>
              <w:t>How UE indicates repetition capability</w:t>
            </w:r>
            <w:r>
              <w:rPr>
                <w:rFonts w:ascii="Times" w:hAnsi="Times" w:eastAsia="宋体"/>
                <w:sz w:val="20"/>
                <w:szCs w:val="24"/>
                <w:lang w:val="en-US" w:eastAsia="en-US"/>
              </w:rPr>
              <w:t xml:space="preserve"> before Msg4</w:t>
            </w:r>
          </w:p>
        </w:tc>
      </w:tr>
    </w:tbl>
    <w:p>
      <w:pPr>
        <w:bidi w:val="0"/>
        <w:rPr>
          <w:rFonts w:hint="eastAsia"/>
          <w:lang w:val="en-US" w:eastAsia="zh-CN"/>
        </w:rPr>
      </w:pPr>
      <w:r>
        <w:rPr>
          <w:rFonts w:hint="eastAsia"/>
          <w:lang w:val="en-US" w:eastAsia="zh-CN"/>
        </w:rPr>
        <w:t xml:space="preserve">RAN1 has agreed to allow repetition of Msg4 HARQ ACK considering options shown in above table, which could have impact on RACH procedure. In this section we will discuss the pros and cons of above solutions, and give analysis from RAN2 point of view. </w:t>
      </w:r>
    </w:p>
    <w:p>
      <w:pPr>
        <w:rPr>
          <w:rFonts w:hint="eastAsia"/>
          <w:b/>
          <w:bCs/>
          <w:lang w:val="en-US" w:eastAsia="zh-CN"/>
        </w:rPr>
      </w:pPr>
      <w:r>
        <w:rPr>
          <w:rFonts w:hint="eastAsia"/>
          <w:b/>
          <w:bCs/>
          <w:lang w:val="en-US" w:eastAsia="zh-CN"/>
        </w:rPr>
        <w:t xml:space="preserve">Observation 4: RAN1 has agreed to allow repetition of Msg4 HARQ ACK which could impact RACH procedure design. </w:t>
      </w:r>
    </w:p>
    <w:p>
      <w:pPr>
        <w:rPr>
          <w:rFonts w:hint="eastAsia"/>
          <w:b w:val="0"/>
          <w:bCs w:val="0"/>
          <w:lang w:val="en-US" w:eastAsia="zh-CN"/>
        </w:rPr>
      </w:pPr>
      <w:r>
        <w:rPr>
          <w:rFonts w:hint="eastAsia"/>
          <w:b w:val="0"/>
          <w:bCs w:val="0"/>
          <w:lang w:val="en-US" w:eastAsia="zh-CN"/>
        </w:rPr>
        <w:t>Basically there are two ways to handle the discussion on this topic:</w:t>
      </w:r>
    </w:p>
    <w:p>
      <w:pPr>
        <w:numPr>
          <w:ilvl w:val="0"/>
          <w:numId w:val="5"/>
        </w:numPr>
        <w:ind w:left="420" w:leftChars="0" w:hanging="420" w:firstLineChars="0"/>
        <w:rPr>
          <w:rFonts w:hint="default"/>
          <w:b w:val="0"/>
          <w:bCs w:val="0"/>
          <w:lang w:val="en-US" w:eastAsia="zh-CN"/>
        </w:rPr>
      </w:pPr>
      <w:r>
        <w:rPr>
          <w:rFonts w:hint="eastAsia"/>
          <w:b w:val="0"/>
          <w:bCs w:val="0"/>
          <w:lang w:val="en-US" w:eastAsia="zh-CN"/>
        </w:rPr>
        <w:t>Opt1: Postpone discussion in RAN2 until RAN1 concludes on the granularity to configure the repetition</w:t>
      </w:r>
    </w:p>
    <w:p>
      <w:pPr>
        <w:numPr>
          <w:ilvl w:val="0"/>
          <w:numId w:val="5"/>
        </w:numPr>
        <w:ind w:left="420" w:leftChars="0" w:hanging="420" w:firstLineChars="0"/>
        <w:rPr>
          <w:rFonts w:hint="default"/>
          <w:b w:val="0"/>
          <w:bCs w:val="0"/>
          <w:lang w:val="en-US" w:eastAsia="zh-CN"/>
        </w:rPr>
      </w:pPr>
      <w:r>
        <w:rPr>
          <w:rFonts w:hint="eastAsia"/>
          <w:b w:val="0"/>
          <w:bCs w:val="0"/>
          <w:lang w:val="en-US" w:eastAsia="zh-CN"/>
        </w:rPr>
        <w:t>Opt2: Simultaneous discussion in RAN2 to evaluate higher layer impact on both options listed for study</w:t>
      </w:r>
    </w:p>
    <w:p>
      <w:pPr>
        <w:numPr>
          <w:ilvl w:val="0"/>
          <w:numId w:val="0"/>
        </w:numPr>
        <w:ind w:leftChars="0"/>
        <w:rPr>
          <w:rFonts w:hint="eastAsia"/>
          <w:b w:val="0"/>
          <w:bCs w:val="0"/>
          <w:lang w:val="en-US" w:eastAsia="zh-CN"/>
        </w:rPr>
      </w:pPr>
      <w:r>
        <w:rPr>
          <w:rFonts w:hint="eastAsia"/>
          <w:b w:val="0"/>
          <w:bCs w:val="0"/>
          <w:lang w:val="en-US" w:eastAsia="zh-CN"/>
        </w:rPr>
        <w:t>Considering RAN1 is still discussing the applicable scenarios for Msg4 HARQ-ACK, i.e., whether the enhancement only focusing on common PUCCH resource or includes also dedicated PUCCH configuration, which will impact the selection of approaches. And they are still evaluating the necessity of UE-specific repetition configuration, it is preferred to wait on RAN1 progress to discuss required procedure adaption in RAN2.</w:t>
      </w:r>
    </w:p>
    <w:p>
      <w:pPr>
        <w:numPr>
          <w:ilvl w:val="0"/>
          <w:numId w:val="0"/>
        </w:numPr>
        <w:ind w:leftChars="0"/>
        <w:rPr>
          <w:rFonts w:hint="default"/>
          <w:b/>
          <w:bCs/>
          <w:lang w:val="en-US" w:eastAsia="zh-CN"/>
        </w:rPr>
      </w:pPr>
      <w:r>
        <w:rPr>
          <w:rFonts w:hint="eastAsia"/>
          <w:b/>
          <w:bCs/>
          <w:lang w:val="en-US" w:eastAsia="zh-CN"/>
        </w:rPr>
        <w:t>Observation 5: RAN1 is still discussing applicable scenarios (e.g., whether to limit to common PUCCH resource) and the necessity of UE-specific repetition of Msg4 HARQ-ACK.</w:t>
      </w:r>
    </w:p>
    <w:p>
      <w:pPr>
        <w:numPr>
          <w:ilvl w:val="0"/>
          <w:numId w:val="0"/>
        </w:numPr>
        <w:ind w:leftChars="0"/>
        <w:rPr>
          <w:rFonts w:hint="default"/>
          <w:lang w:val="en-US"/>
        </w:rPr>
        <w:sectPr>
          <w:headerReference r:id="rId3" w:type="default"/>
          <w:footerReference r:id="rId4" w:type="default"/>
          <w:footerReference r:id="rId5" w:type="even"/>
          <w:pgSz w:w="11906" w:h="16838"/>
          <w:pgMar w:top="1440" w:right="1440" w:bottom="1440" w:left="1440" w:header="851" w:footer="992" w:gutter="0"/>
          <w:cols w:space="720" w:num="1"/>
          <w:docGrid w:type="lines" w:linePitch="312" w:charSpace="0"/>
        </w:sectPr>
      </w:pPr>
      <w:r>
        <w:rPr>
          <w:rFonts w:hint="eastAsia"/>
          <w:b/>
          <w:bCs/>
          <w:lang w:val="en-US" w:eastAsia="zh-CN"/>
        </w:rPr>
        <w:t>Proposal 2: For Msg4 HARQ-ACK enhancement, RAN2 wait for more RAN1 progress to discuss required RACH procedure adaption.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ind w:left="425" w:leftChars="0" w:hanging="425" w:firstLineChars="0"/>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rPr>
          <w:rFonts w:ascii="Arial" w:hAnsi="Arial" w:cs="Arial"/>
          <w:bCs/>
          <w:kern w:val="0"/>
          <w:sz w:val="20"/>
          <w:szCs w:val="20"/>
        </w:rPr>
      </w:pPr>
      <w:r>
        <w:rPr>
          <w:rFonts w:ascii="Arial" w:hAnsi="Arial" w:cs="Arial"/>
          <w:bCs/>
          <w:kern w:val="0"/>
          <w:sz w:val="20"/>
          <w:szCs w:val="20"/>
        </w:rPr>
        <w:t xml:space="preserve">Based on the analysis in previous sections, the following proposals are given: </w:t>
      </w:r>
    </w:p>
    <w:p>
      <w:pPr>
        <w:rPr>
          <w:rFonts w:hint="eastAsia" w:ascii="Arial" w:hAnsi="Arial" w:cs="Arial"/>
          <w:b/>
          <w:bCs/>
          <w:kern w:val="0"/>
          <w:sz w:val="20"/>
          <w:szCs w:val="20"/>
          <w:u w:val="single"/>
          <w:lang w:val="en-US" w:eastAsia="zh-CN"/>
        </w:rPr>
      </w:pPr>
      <w:r>
        <w:rPr>
          <w:rFonts w:hint="eastAsia" w:ascii="Arial" w:hAnsi="Arial" w:cs="Arial"/>
          <w:b/>
          <w:bCs/>
          <w:kern w:val="0"/>
          <w:sz w:val="20"/>
          <w:szCs w:val="20"/>
          <w:u w:val="single"/>
          <w:lang w:val="en-US" w:eastAsia="zh-CN"/>
        </w:rPr>
        <w:t>On segmentation based pre-compensation</w:t>
      </w:r>
    </w:p>
    <w:p>
      <w:pPr>
        <w:bidi w:val="0"/>
        <w:rPr>
          <w:rFonts w:hint="default"/>
          <w:b w:val="0"/>
          <w:bCs w:val="0"/>
          <w:i/>
          <w:iCs/>
          <w:lang w:val="en-US" w:eastAsia="zh-CN"/>
        </w:rPr>
      </w:pPr>
      <w:r>
        <w:rPr>
          <w:rFonts w:hint="eastAsia"/>
          <w:b w:val="0"/>
          <w:bCs w:val="0"/>
          <w:i/>
          <w:iCs/>
          <w:lang w:val="en-US" w:eastAsia="zh-CN"/>
        </w:rPr>
        <w:t>Observation 1: Segmentation based pre-compensation has been introduced in R17 IoT NTN to handle frequent varied TA/Doppler drift issue in UL repetition transmission.</w:t>
      </w:r>
    </w:p>
    <w:p>
      <w:pPr>
        <w:bidi w:val="0"/>
        <w:rPr>
          <w:rFonts w:hint="default"/>
          <w:b w:val="0"/>
          <w:bCs w:val="0"/>
          <w:i/>
          <w:iCs/>
          <w:lang w:val="en-US" w:eastAsia="zh-CN"/>
        </w:rPr>
      </w:pPr>
      <w:r>
        <w:rPr>
          <w:rFonts w:hint="eastAsia"/>
          <w:b w:val="0"/>
          <w:bCs w:val="0"/>
          <w:i/>
          <w:iCs/>
          <w:lang w:val="en-US" w:eastAsia="zh-CN"/>
        </w:rPr>
        <w:t>Observation 2: Repetition number might be increased in R18 NTN to improve coverage, which will worse the TA variance issue in UL repetition based transmission, thus lead to either risk of losing UL synchronization or UL transmission collapse.</w:t>
      </w:r>
    </w:p>
    <w:p>
      <w:pPr>
        <w:bidi w:val="0"/>
        <w:rPr>
          <w:rFonts w:hint="default"/>
          <w:b w:val="0"/>
          <w:bCs w:val="0"/>
          <w:i/>
          <w:iCs/>
          <w:lang w:val="en-US" w:eastAsia="zh-CN"/>
        </w:rPr>
      </w:pPr>
      <w:r>
        <w:rPr>
          <w:rFonts w:hint="eastAsia"/>
          <w:b w:val="0"/>
          <w:bCs w:val="0"/>
          <w:i/>
          <w:iCs/>
          <w:lang w:val="en-US" w:eastAsia="zh-CN"/>
        </w:rPr>
        <w:t>Observation 3: Segmented precompensation is needed to avoid performance down-grade of DMRS bundling.</w:t>
      </w:r>
    </w:p>
    <w:p>
      <w:pPr>
        <w:bidi w:val="0"/>
        <w:rPr>
          <w:rFonts w:hint="default" w:ascii="Arial" w:hAnsi="Arial" w:cs="Arial"/>
          <w:b/>
          <w:bCs/>
          <w:kern w:val="0"/>
          <w:sz w:val="20"/>
          <w:szCs w:val="20"/>
          <w:u w:val="single"/>
          <w:lang w:val="en-US" w:eastAsia="zh-CN"/>
        </w:rPr>
      </w:pPr>
      <w:r>
        <w:rPr>
          <w:rFonts w:hint="eastAsia"/>
          <w:b/>
          <w:bCs/>
          <w:lang w:val="en-US" w:eastAsia="zh-CN"/>
        </w:rPr>
        <w:t>Proposal 1: Segmented pre-compensation is supported in NR NTN. Details ffs.</w:t>
      </w:r>
    </w:p>
    <w:p>
      <w:pPr>
        <w:rPr>
          <w:rFonts w:ascii="Arial" w:hAnsi="Arial" w:cs="Arial"/>
          <w:bCs/>
          <w:kern w:val="0"/>
          <w:sz w:val="20"/>
          <w:szCs w:val="20"/>
        </w:rPr>
      </w:pPr>
    </w:p>
    <w:p>
      <w:pPr>
        <w:rPr>
          <w:rFonts w:hint="default" w:ascii="Arial" w:hAnsi="Arial" w:cs="Arial" w:eastAsiaTheme="minorEastAsia"/>
          <w:b/>
          <w:bCs/>
          <w:kern w:val="0"/>
          <w:sz w:val="20"/>
          <w:szCs w:val="20"/>
          <w:u w:val="single"/>
          <w:lang w:val="en-US" w:eastAsia="zh-CN"/>
        </w:rPr>
      </w:pPr>
      <w:r>
        <w:rPr>
          <w:rFonts w:hint="eastAsia" w:ascii="Arial" w:hAnsi="Arial" w:cs="Arial"/>
          <w:b/>
          <w:bCs/>
          <w:kern w:val="0"/>
          <w:sz w:val="20"/>
          <w:szCs w:val="20"/>
          <w:u w:val="single"/>
          <w:lang w:val="en-US" w:eastAsia="zh-CN"/>
        </w:rPr>
        <w:t>Msg4 HARQ-ACK enhancement</w:t>
      </w:r>
    </w:p>
    <w:p>
      <w:pPr>
        <w:rPr>
          <w:rFonts w:hint="eastAsia"/>
          <w:b w:val="0"/>
          <w:bCs w:val="0"/>
          <w:i/>
          <w:iCs/>
          <w:lang w:val="en-US" w:eastAsia="zh-CN"/>
        </w:rPr>
      </w:pPr>
      <w:r>
        <w:rPr>
          <w:rFonts w:hint="eastAsia"/>
          <w:b w:val="0"/>
          <w:bCs w:val="0"/>
          <w:i/>
          <w:iCs/>
          <w:lang w:val="en-US" w:eastAsia="zh-CN"/>
        </w:rPr>
        <w:t xml:space="preserve">Observation 4: RAN1 has agreed to allow repetition of Msg4 HARQ ACK which could impact RACH procedure design. </w:t>
      </w:r>
    </w:p>
    <w:p>
      <w:pPr>
        <w:numPr>
          <w:ilvl w:val="0"/>
          <w:numId w:val="0"/>
        </w:numPr>
        <w:ind w:leftChars="0"/>
        <w:rPr>
          <w:rFonts w:hint="default"/>
          <w:b w:val="0"/>
          <w:bCs w:val="0"/>
          <w:i/>
          <w:iCs/>
          <w:lang w:val="en-US" w:eastAsia="zh-CN"/>
        </w:rPr>
      </w:pPr>
      <w:r>
        <w:rPr>
          <w:rFonts w:hint="eastAsia"/>
          <w:b w:val="0"/>
          <w:bCs w:val="0"/>
          <w:i/>
          <w:iCs/>
          <w:lang w:val="en-US" w:eastAsia="zh-CN"/>
        </w:rPr>
        <w:t>Observation 5: RAN1 is still discussing applicable scenarios (e.g., whether to limit to common PUCCH resource) and the necessity of UE-specific repetition of Msg4 HARQ-ACK.</w:t>
      </w:r>
    </w:p>
    <w:p>
      <w:pPr>
        <w:numPr>
          <w:ilvl w:val="0"/>
          <w:numId w:val="0"/>
        </w:numPr>
        <w:ind w:leftChars="0"/>
        <w:rPr>
          <w:rFonts w:hint="default"/>
          <w:lang w:val="en-US"/>
        </w:rPr>
        <w:sectPr>
          <w:headerReference r:id="rId6" w:type="default"/>
          <w:footerReference r:id="rId7" w:type="default"/>
          <w:footerReference r:id="rId8" w:type="even"/>
          <w:pgSz w:w="11906" w:h="16838"/>
          <w:pgMar w:top="1440" w:right="1440" w:bottom="1440" w:left="1440" w:header="851" w:footer="992" w:gutter="0"/>
          <w:cols w:space="720" w:num="1"/>
          <w:docGrid w:type="lines" w:linePitch="312" w:charSpace="0"/>
        </w:sectPr>
      </w:pPr>
      <w:r>
        <w:rPr>
          <w:rFonts w:hint="eastAsia"/>
          <w:b/>
          <w:bCs/>
          <w:lang w:val="en-US" w:eastAsia="zh-CN"/>
        </w:rPr>
        <w:t>Proposal 2: For Msg4 HARQ-ACK enhancement, RAN2 wait for more RAN1 progress to discuss required RACH procedure adaption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ind w:left="425" w:leftChars="0" w:hanging="425" w:firstLineChars="0"/>
        <w:jc w:val="left"/>
        <w:textAlignment w:val="baseline"/>
        <w:rPr>
          <w:rFonts w:ascii="Arial" w:hAnsi="Arial" w:cs="Arial"/>
          <w:b w:val="0"/>
          <w:bCs w:val="0"/>
          <w:kern w:val="0"/>
          <w:sz w:val="32"/>
          <w:szCs w:val="36"/>
        </w:rPr>
      </w:pPr>
      <w:bookmarkStart w:id="4" w:name="_GoBack"/>
      <w:bookmarkEnd w:id="4"/>
      <w:r>
        <w:rPr>
          <w:rFonts w:ascii="Arial" w:hAnsi="Arial" w:cs="Arial"/>
          <w:b w:val="0"/>
          <w:bCs w:val="0"/>
          <w:kern w:val="0"/>
          <w:sz w:val="32"/>
          <w:szCs w:val="36"/>
        </w:rPr>
        <w:t>References</w:t>
      </w:r>
    </w:p>
    <w:p>
      <w:pPr>
        <w:numPr>
          <w:ilvl w:val="0"/>
          <w:numId w:val="6"/>
        </w:numPr>
        <w:rPr>
          <w:rFonts w:hint="eastAsia" w:ascii="Arial" w:hAnsi="Arial" w:cs="Arial"/>
          <w:bCs/>
          <w:kern w:val="0"/>
          <w:sz w:val="20"/>
          <w:szCs w:val="20"/>
          <w:lang w:val="en-US" w:eastAsia="zh-CN"/>
        </w:rPr>
      </w:pPr>
      <w:r>
        <w:rPr>
          <w:rFonts w:hint="eastAsia" w:ascii="Arial" w:hAnsi="Arial" w:cs="Arial"/>
          <w:bCs/>
          <w:kern w:val="0"/>
          <w:sz w:val="20"/>
          <w:szCs w:val="20"/>
          <w:lang w:val="en-US" w:eastAsia="zh-CN"/>
        </w:rPr>
        <w:t>R1-2208693</w:t>
      </w:r>
      <w:r>
        <w:rPr>
          <w:rFonts w:hint="eastAsia" w:ascii="Arial" w:hAnsi="Arial" w:cs="Arial"/>
          <w:bCs/>
          <w:kern w:val="0"/>
          <w:sz w:val="20"/>
          <w:szCs w:val="20"/>
          <w:lang w:val="en-US" w:eastAsia="zh-CN"/>
        </w:rPr>
        <w:tab/>
      </w:r>
      <w:r>
        <w:rPr>
          <w:rFonts w:hint="eastAsia" w:ascii="Arial" w:hAnsi="Arial" w:cs="Arial"/>
          <w:bCs/>
          <w:kern w:val="0"/>
          <w:sz w:val="20"/>
          <w:szCs w:val="20"/>
          <w:lang w:val="en-US" w:eastAsia="zh-CN"/>
        </w:rPr>
        <w:t>Discussion on coverage enhancement for NTN</w:t>
      </w:r>
      <w:r>
        <w:rPr>
          <w:rFonts w:hint="eastAsia" w:ascii="Arial" w:hAnsi="Arial" w:cs="Arial"/>
          <w:bCs/>
          <w:kern w:val="0"/>
          <w:sz w:val="20"/>
          <w:szCs w:val="20"/>
          <w:lang w:val="en-US" w:eastAsia="zh-CN"/>
        </w:rPr>
        <w:tab/>
      </w:r>
      <w:r>
        <w:rPr>
          <w:rFonts w:hint="eastAsia" w:ascii="Arial" w:hAnsi="Arial" w:cs="Arial"/>
          <w:bCs/>
          <w:kern w:val="0"/>
          <w:sz w:val="20"/>
          <w:szCs w:val="20"/>
          <w:lang w:val="en-US" w:eastAsia="zh-CN"/>
        </w:rPr>
        <w:t>ZTE</w:t>
      </w:r>
    </w:p>
    <w:p>
      <w:pPr>
        <w:numPr>
          <w:ilvl w:val="0"/>
          <w:numId w:val="6"/>
        </w:numPr>
        <w:rPr>
          <w:rFonts w:ascii="Arial" w:hAnsi="Arial" w:cs="Arial"/>
          <w:bCs/>
          <w:kern w:val="0"/>
          <w:sz w:val="20"/>
          <w:szCs w:val="20"/>
        </w:rPr>
      </w:pPr>
      <w:r>
        <w:rPr>
          <w:rFonts w:hint="eastAsia" w:ascii="Arial" w:hAnsi="Arial" w:cs="Arial"/>
          <w:bCs/>
          <w:kern w:val="0"/>
          <w:sz w:val="20"/>
          <w:szCs w:val="20"/>
          <w:lang w:val="en-US" w:eastAsia="zh-CN"/>
        </w:rPr>
        <w:t>R1-2210346  Summary #2 on 9.11.1 Coverage enhancement for NR NTN</w:t>
      </w:r>
    </w:p>
    <w:p>
      <w:pPr>
        <w:numPr>
          <w:ilvl w:val="0"/>
          <w:numId w:val="6"/>
        </w:numPr>
        <w:rPr>
          <w:rFonts w:ascii="Arial" w:hAnsi="Arial" w:cs="Arial"/>
          <w:bCs/>
          <w:kern w:val="0"/>
          <w:sz w:val="20"/>
          <w:szCs w:val="20"/>
        </w:rPr>
      </w:pPr>
      <w:r>
        <w:rPr>
          <w:rFonts w:ascii="Arial" w:hAnsi="Arial" w:cs="Arial"/>
          <w:bCs/>
          <w:kern w:val="0"/>
          <w:sz w:val="20"/>
          <w:szCs w:val="20"/>
        </w:rPr>
        <w:t>R2-2210801   Report from Break-Out Session on NTN, IoT NTN, RedCap and CE            Vice Chairman (ZTE)   Report</w:t>
      </w:r>
    </w:p>
    <w:sectPr>
      <w:pgSz w:w="11906" w:h="16838"/>
      <w:pgMar w:top="1440" w:right="1440"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ＭＳ 明朝">
    <w:altName w:val="Yu Gothic UI"/>
    <w:panose1 w:val="02020609040205080304"/>
    <w:charset w:val="80"/>
    <w:family w:val="roma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0C9A569"/>
    <w:multiLevelType w:val="singleLevel"/>
    <w:tmpl w:val="F0C9A569"/>
    <w:lvl w:ilvl="0" w:tentative="0">
      <w:start w:val="1"/>
      <w:numFmt w:val="bullet"/>
      <w:lvlText w:val=""/>
      <w:lvlJc w:val="left"/>
      <w:pPr>
        <w:ind w:left="420" w:hanging="420"/>
      </w:pPr>
      <w:rPr>
        <w:rFonts w:hint="default" w:ascii="Wingdings" w:hAnsi="Wingdings"/>
      </w:r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11807F16"/>
    <w:multiLevelType w:val="multilevel"/>
    <w:tmpl w:val="11807F16"/>
    <w:lvl w:ilvl="0" w:tentative="0">
      <w:start w:val="1"/>
      <w:numFmt w:val="bullet"/>
      <w:lvlText w:val=""/>
      <w:lvlJc w:val="left"/>
      <w:pPr>
        <w:ind w:left="1219" w:hanging="420"/>
      </w:pPr>
      <w:rPr>
        <w:rFonts w:hint="default" w:ascii="Symbol" w:hAnsi="Symbol" w:eastAsia="ＭＳ 明朝" w:cs="Times New Roman"/>
      </w:rPr>
    </w:lvl>
    <w:lvl w:ilvl="1" w:tentative="0">
      <w:start w:val="1"/>
      <w:numFmt w:val="bullet"/>
      <w:lvlText w:val="o"/>
      <w:lvlJc w:val="left"/>
      <w:pPr>
        <w:ind w:left="1639" w:hanging="420"/>
      </w:pPr>
      <w:rPr>
        <w:rFonts w:hint="default" w:ascii="Courier New" w:hAnsi="Courier New" w:cs="Courier New"/>
      </w:rPr>
    </w:lvl>
    <w:lvl w:ilvl="2" w:tentative="0">
      <w:start w:val="0"/>
      <w:numFmt w:val="bullet"/>
      <w:lvlText w:val="-"/>
      <w:lvlJc w:val="left"/>
      <w:pPr>
        <w:ind w:left="2059" w:hanging="420"/>
      </w:pPr>
      <w:rPr>
        <w:rFonts w:hint="default" w:ascii="Times" w:hAnsi="Times" w:eastAsia="Batang" w:cs="Times"/>
      </w:rPr>
    </w:lvl>
    <w:lvl w:ilvl="3" w:tentative="0">
      <w:start w:val="1"/>
      <w:numFmt w:val="bullet"/>
      <w:lvlText w:val=""/>
      <w:lvlJc w:val="left"/>
      <w:pPr>
        <w:ind w:left="2479" w:hanging="420"/>
      </w:pPr>
      <w:rPr>
        <w:rFonts w:hint="default" w:ascii="Wingdings" w:hAnsi="Wingdings"/>
      </w:rPr>
    </w:lvl>
    <w:lvl w:ilvl="4" w:tentative="0">
      <w:start w:val="1"/>
      <w:numFmt w:val="bullet"/>
      <w:lvlText w:val=""/>
      <w:lvlJc w:val="left"/>
      <w:pPr>
        <w:ind w:left="2899" w:hanging="420"/>
      </w:pPr>
      <w:rPr>
        <w:rFonts w:hint="default" w:ascii="Wingdings" w:hAnsi="Wingdings"/>
      </w:rPr>
    </w:lvl>
    <w:lvl w:ilvl="5" w:tentative="0">
      <w:start w:val="1"/>
      <w:numFmt w:val="bullet"/>
      <w:lvlText w:val=""/>
      <w:lvlJc w:val="left"/>
      <w:pPr>
        <w:ind w:left="3319" w:hanging="420"/>
      </w:pPr>
      <w:rPr>
        <w:rFonts w:hint="default" w:ascii="Wingdings" w:hAnsi="Wingdings"/>
      </w:rPr>
    </w:lvl>
    <w:lvl w:ilvl="6" w:tentative="0">
      <w:start w:val="1"/>
      <w:numFmt w:val="bullet"/>
      <w:lvlText w:val=""/>
      <w:lvlJc w:val="left"/>
      <w:pPr>
        <w:ind w:left="3739" w:hanging="420"/>
      </w:pPr>
      <w:rPr>
        <w:rFonts w:hint="default" w:ascii="Wingdings" w:hAnsi="Wingdings"/>
      </w:rPr>
    </w:lvl>
    <w:lvl w:ilvl="7" w:tentative="0">
      <w:start w:val="1"/>
      <w:numFmt w:val="bullet"/>
      <w:lvlText w:val=""/>
      <w:lvlJc w:val="left"/>
      <w:pPr>
        <w:ind w:left="4159" w:hanging="420"/>
      </w:pPr>
      <w:rPr>
        <w:rFonts w:hint="default" w:ascii="Wingdings" w:hAnsi="Wingdings"/>
      </w:rPr>
    </w:lvl>
    <w:lvl w:ilvl="8" w:tentative="0">
      <w:start w:val="1"/>
      <w:numFmt w:val="bullet"/>
      <w:lvlText w:val=""/>
      <w:lvlJc w:val="left"/>
      <w:pPr>
        <w:ind w:left="4579" w:hanging="420"/>
      </w:pPr>
      <w:rPr>
        <w:rFonts w:hint="default" w:ascii="Wingdings" w:hAnsi="Wingdings"/>
      </w:rPr>
    </w:lvl>
  </w:abstractNum>
  <w:abstractNum w:abstractNumId="4">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6B0DA888"/>
    <w:multiLevelType w:val="singleLevel"/>
    <w:tmpl w:val="6B0DA888"/>
    <w:lvl w:ilvl="0" w:tentative="0">
      <w:start w:val="1"/>
      <w:numFmt w:val="decimal"/>
      <w:suff w:val="space"/>
      <w:lvlText w:val="[%1]"/>
      <w:lvlJc w:val="left"/>
    </w:lvl>
  </w:abstractNum>
  <w:num w:numId="1">
    <w:abstractNumId w:val="1"/>
  </w:num>
  <w:num w:numId="2">
    <w:abstractNumId w:val="4"/>
  </w:num>
  <w:num w:numId="3">
    <w:abstractNumId w:val="2"/>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04"/>
    <w:rsid w:val="000003CF"/>
    <w:rsid w:val="00001366"/>
    <w:rsid w:val="0000152F"/>
    <w:rsid w:val="00001D3F"/>
    <w:rsid w:val="00001D6A"/>
    <w:rsid w:val="0000315C"/>
    <w:rsid w:val="0000394D"/>
    <w:rsid w:val="00003AA8"/>
    <w:rsid w:val="000055B1"/>
    <w:rsid w:val="00005B70"/>
    <w:rsid w:val="00006B07"/>
    <w:rsid w:val="000103E7"/>
    <w:rsid w:val="00010B10"/>
    <w:rsid w:val="00011398"/>
    <w:rsid w:val="00012424"/>
    <w:rsid w:val="00012656"/>
    <w:rsid w:val="000130CA"/>
    <w:rsid w:val="00013699"/>
    <w:rsid w:val="00013F73"/>
    <w:rsid w:val="00013FAD"/>
    <w:rsid w:val="000140B1"/>
    <w:rsid w:val="00015810"/>
    <w:rsid w:val="000173EB"/>
    <w:rsid w:val="00017BA5"/>
    <w:rsid w:val="00021259"/>
    <w:rsid w:val="00021359"/>
    <w:rsid w:val="000223BE"/>
    <w:rsid w:val="00022B01"/>
    <w:rsid w:val="00023031"/>
    <w:rsid w:val="000248FC"/>
    <w:rsid w:val="00024E29"/>
    <w:rsid w:val="00026369"/>
    <w:rsid w:val="0002660A"/>
    <w:rsid w:val="00026899"/>
    <w:rsid w:val="0002698B"/>
    <w:rsid w:val="00027CC9"/>
    <w:rsid w:val="00027EEC"/>
    <w:rsid w:val="00030587"/>
    <w:rsid w:val="00030820"/>
    <w:rsid w:val="00031505"/>
    <w:rsid w:val="0003151B"/>
    <w:rsid w:val="00032A67"/>
    <w:rsid w:val="00032B43"/>
    <w:rsid w:val="000334D0"/>
    <w:rsid w:val="00035EF9"/>
    <w:rsid w:val="0003709C"/>
    <w:rsid w:val="00037973"/>
    <w:rsid w:val="00037C05"/>
    <w:rsid w:val="000407A7"/>
    <w:rsid w:val="00040A63"/>
    <w:rsid w:val="00040FD4"/>
    <w:rsid w:val="0004105F"/>
    <w:rsid w:val="00041896"/>
    <w:rsid w:val="00042CA0"/>
    <w:rsid w:val="00042E6F"/>
    <w:rsid w:val="00043923"/>
    <w:rsid w:val="00043FCA"/>
    <w:rsid w:val="000456BC"/>
    <w:rsid w:val="00045EDE"/>
    <w:rsid w:val="000462DF"/>
    <w:rsid w:val="00046E3D"/>
    <w:rsid w:val="00047B47"/>
    <w:rsid w:val="000516D3"/>
    <w:rsid w:val="0005297D"/>
    <w:rsid w:val="00053ADE"/>
    <w:rsid w:val="00053AED"/>
    <w:rsid w:val="000549FF"/>
    <w:rsid w:val="00054E9D"/>
    <w:rsid w:val="0005525F"/>
    <w:rsid w:val="000554CA"/>
    <w:rsid w:val="000563ED"/>
    <w:rsid w:val="000566EB"/>
    <w:rsid w:val="00056B94"/>
    <w:rsid w:val="000603D6"/>
    <w:rsid w:val="00061D51"/>
    <w:rsid w:val="0006281F"/>
    <w:rsid w:val="00062984"/>
    <w:rsid w:val="00063589"/>
    <w:rsid w:val="00067927"/>
    <w:rsid w:val="000700B4"/>
    <w:rsid w:val="00070597"/>
    <w:rsid w:val="0007093A"/>
    <w:rsid w:val="00071F15"/>
    <w:rsid w:val="0007205B"/>
    <w:rsid w:val="00072ABE"/>
    <w:rsid w:val="00072C4A"/>
    <w:rsid w:val="00073BCE"/>
    <w:rsid w:val="000755A8"/>
    <w:rsid w:val="00076677"/>
    <w:rsid w:val="00076832"/>
    <w:rsid w:val="00076B12"/>
    <w:rsid w:val="00077786"/>
    <w:rsid w:val="00077BE2"/>
    <w:rsid w:val="000804D4"/>
    <w:rsid w:val="00080B1C"/>
    <w:rsid w:val="00080D31"/>
    <w:rsid w:val="0008122E"/>
    <w:rsid w:val="00082A8D"/>
    <w:rsid w:val="00082CAA"/>
    <w:rsid w:val="0008316D"/>
    <w:rsid w:val="00083EDA"/>
    <w:rsid w:val="00084609"/>
    <w:rsid w:val="00086175"/>
    <w:rsid w:val="000875C4"/>
    <w:rsid w:val="00090498"/>
    <w:rsid w:val="0009084A"/>
    <w:rsid w:val="000915A4"/>
    <w:rsid w:val="0009278C"/>
    <w:rsid w:val="00092939"/>
    <w:rsid w:val="00092E40"/>
    <w:rsid w:val="00093BD2"/>
    <w:rsid w:val="0009487B"/>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A4E"/>
    <w:rsid w:val="000A3E33"/>
    <w:rsid w:val="000A45FF"/>
    <w:rsid w:val="000A53F5"/>
    <w:rsid w:val="000A5A31"/>
    <w:rsid w:val="000A636B"/>
    <w:rsid w:val="000A6CCF"/>
    <w:rsid w:val="000B0C45"/>
    <w:rsid w:val="000B21DA"/>
    <w:rsid w:val="000B25A2"/>
    <w:rsid w:val="000B2A5C"/>
    <w:rsid w:val="000B31AA"/>
    <w:rsid w:val="000B38F6"/>
    <w:rsid w:val="000B3A65"/>
    <w:rsid w:val="000B4B76"/>
    <w:rsid w:val="000B4CDF"/>
    <w:rsid w:val="000B54F8"/>
    <w:rsid w:val="000B65CB"/>
    <w:rsid w:val="000B6785"/>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40CF"/>
    <w:rsid w:val="000D6228"/>
    <w:rsid w:val="000D6D39"/>
    <w:rsid w:val="000E09FD"/>
    <w:rsid w:val="000E0C43"/>
    <w:rsid w:val="000E1125"/>
    <w:rsid w:val="000E1993"/>
    <w:rsid w:val="000E3B8A"/>
    <w:rsid w:val="000E5499"/>
    <w:rsid w:val="000E58FE"/>
    <w:rsid w:val="000E6390"/>
    <w:rsid w:val="000E7A4B"/>
    <w:rsid w:val="000F0022"/>
    <w:rsid w:val="000F07AC"/>
    <w:rsid w:val="000F0A7B"/>
    <w:rsid w:val="000F12EE"/>
    <w:rsid w:val="000F2856"/>
    <w:rsid w:val="000F2AD3"/>
    <w:rsid w:val="000F42FD"/>
    <w:rsid w:val="000F4CFF"/>
    <w:rsid w:val="000F561E"/>
    <w:rsid w:val="000F569B"/>
    <w:rsid w:val="000F7621"/>
    <w:rsid w:val="00100030"/>
    <w:rsid w:val="00101D29"/>
    <w:rsid w:val="0010346F"/>
    <w:rsid w:val="0010359D"/>
    <w:rsid w:val="00103DDB"/>
    <w:rsid w:val="001051C3"/>
    <w:rsid w:val="001066D5"/>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5029"/>
    <w:rsid w:val="001156DF"/>
    <w:rsid w:val="00116546"/>
    <w:rsid w:val="0012071D"/>
    <w:rsid w:val="00121944"/>
    <w:rsid w:val="00123B85"/>
    <w:rsid w:val="001253A3"/>
    <w:rsid w:val="00126145"/>
    <w:rsid w:val="0012673B"/>
    <w:rsid w:val="001277F8"/>
    <w:rsid w:val="00131C3C"/>
    <w:rsid w:val="00131F5D"/>
    <w:rsid w:val="00131F75"/>
    <w:rsid w:val="0013288E"/>
    <w:rsid w:val="00134275"/>
    <w:rsid w:val="001347A6"/>
    <w:rsid w:val="0013534D"/>
    <w:rsid w:val="001363AD"/>
    <w:rsid w:val="0013706A"/>
    <w:rsid w:val="001371E5"/>
    <w:rsid w:val="00137B0E"/>
    <w:rsid w:val="00137D4E"/>
    <w:rsid w:val="00140FB3"/>
    <w:rsid w:val="001413B6"/>
    <w:rsid w:val="00141835"/>
    <w:rsid w:val="00142CB3"/>
    <w:rsid w:val="00143566"/>
    <w:rsid w:val="001454AC"/>
    <w:rsid w:val="001454F4"/>
    <w:rsid w:val="00145AFF"/>
    <w:rsid w:val="00145C4C"/>
    <w:rsid w:val="00147740"/>
    <w:rsid w:val="00150BAB"/>
    <w:rsid w:val="0015128A"/>
    <w:rsid w:val="00151BB9"/>
    <w:rsid w:val="00153531"/>
    <w:rsid w:val="0015433D"/>
    <w:rsid w:val="001543C6"/>
    <w:rsid w:val="00156302"/>
    <w:rsid w:val="00156452"/>
    <w:rsid w:val="00156D67"/>
    <w:rsid w:val="00160A40"/>
    <w:rsid w:val="00161532"/>
    <w:rsid w:val="001619AF"/>
    <w:rsid w:val="001627D9"/>
    <w:rsid w:val="0016573E"/>
    <w:rsid w:val="00166327"/>
    <w:rsid w:val="001666D1"/>
    <w:rsid w:val="00170C6A"/>
    <w:rsid w:val="00170DEC"/>
    <w:rsid w:val="00171344"/>
    <w:rsid w:val="00171FF9"/>
    <w:rsid w:val="0017222F"/>
    <w:rsid w:val="0017245C"/>
    <w:rsid w:val="00172A27"/>
    <w:rsid w:val="00172ED2"/>
    <w:rsid w:val="00174FF0"/>
    <w:rsid w:val="001752FE"/>
    <w:rsid w:val="00175874"/>
    <w:rsid w:val="0017597A"/>
    <w:rsid w:val="00176458"/>
    <w:rsid w:val="001767E6"/>
    <w:rsid w:val="00176AC2"/>
    <w:rsid w:val="0018000D"/>
    <w:rsid w:val="001802FB"/>
    <w:rsid w:val="001806A8"/>
    <w:rsid w:val="00180983"/>
    <w:rsid w:val="0018155F"/>
    <w:rsid w:val="0018310D"/>
    <w:rsid w:val="0018410B"/>
    <w:rsid w:val="00184250"/>
    <w:rsid w:val="001845D4"/>
    <w:rsid w:val="00184AA0"/>
    <w:rsid w:val="001866DF"/>
    <w:rsid w:val="001878A6"/>
    <w:rsid w:val="00187FEF"/>
    <w:rsid w:val="00190A8D"/>
    <w:rsid w:val="00191525"/>
    <w:rsid w:val="00191A48"/>
    <w:rsid w:val="00191DA1"/>
    <w:rsid w:val="0019311E"/>
    <w:rsid w:val="00194E28"/>
    <w:rsid w:val="00194EF3"/>
    <w:rsid w:val="0019547D"/>
    <w:rsid w:val="00195E1F"/>
    <w:rsid w:val="00196645"/>
    <w:rsid w:val="00197997"/>
    <w:rsid w:val="001A0804"/>
    <w:rsid w:val="001A0AC8"/>
    <w:rsid w:val="001A384E"/>
    <w:rsid w:val="001A4015"/>
    <w:rsid w:val="001A5BC7"/>
    <w:rsid w:val="001A6023"/>
    <w:rsid w:val="001A6AFD"/>
    <w:rsid w:val="001A6B45"/>
    <w:rsid w:val="001A6B66"/>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7C6"/>
    <w:rsid w:val="001C1BC1"/>
    <w:rsid w:val="001C22DE"/>
    <w:rsid w:val="001C2425"/>
    <w:rsid w:val="001C25FD"/>
    <w:rsid w:val="001C282E"/>
    <w:rsid w:val="001C310F"/>
    <w:rsid w:val="001C387B"/>
    <w:rsid w:val="001C3C4C"/>
    <w:rsid w:val="001C48AE"/>
    <w:rsid w:val="001C6B0A"/>
    <w:rsid w:val="001C6C7E"/>
    <w:rsid w:val="001C75C0"/>
    <w:rsid w:val="001C7743"/>
    <w:rsid w:val="001C7F10"/>
    <w:rsid w:val="001D047B"/>
    <w:rsid w:val="001D1252"/>
    <w:rsid w:val="001D1930"/>
    <w:rsid w:val="001D23DB"/>
    <w:rsid w:val="001D2914"/>
    <w:rsid w:val="001D2FB0"/>
    <w:rsid w:val="001D3394"/>
    <w:rsid w:val="001D3614"/>
    <w:rsid w:val="001D745B"/>
    <w:rsid w:val="001D7750"/>
    <w:rsid w:val="001D7F97"/>
    <w:rsid w:val="001E0341"/>
    <w:rsid w:val="001E1C36"/>
    <w:rsid w:val="001E3D8C"/>
    <w:rsid w:val="001E43EF"/>
    <w:rsid w:val="001E44CD"/>
    <w:rsid w:val="001E6F40"/>
    <w:rsid w:val="001E7319"/>
    <w:rsid w:val="001E7607"/>
    <w:rsid w:val="001F31F0"/>
    <w:rsid w:val="001F3DF5"/>
    <w:rsid w:val="001F4346"/>
    <w:rsid w:val="001F4D54"/>
    <w:rsid w:val="001F534C"/>
    <w:rsid w:val="001F56E4"/>
    <w:rsid w:val="001F61BD"/>
    <w:rsid w:val="002007D4"/>
    <w:rsid w:val="00201583"/>
    <w:rsid w:val="00201FFE"/>
    <w:rsid w:val="00202C4B"/>
    <w:rsid w:val="00203774"/>
    <w:rsid w:val="00203B88"/>
    <w:rsid w:val="00205321"/>
    <w:rsid w:val="0020571C"/>
    <w:rsid w:val="00205ED9"/>
    <w:rsid w:val="00206380"/>
    <w:rsid w:val="00206DFC"/>
    <w:rsid w:val="00207F5F"/>
    <w:rsid w:val="00210A6D"/>
    <w:rsid w:val="002121C3"/>
    <w:rsid w:val="00212C17"/>
    <w:rsid w:val="00212D83"/>
    <w:rsid w:val="00214533"/>
    <w:rsid w:val="002153F9"/>
    <w:rsid w:val="002155FA"/>
    <w:rsid w:val="00217443"/>
    <w:rsid w:val="002176DE"/>
    <w:rsid w:val="00220834"/>
    <w:rsid w:val="00220B72"/>
    <w:rsid w:val="002234BD"/>
    <w:rsid w:val="00223B64"/>
    <w:rsid w:val="002257B3"/>
    <w:rsid w:val="00226386"/>
    <w:rsid w:val="002265BB"/>
    <w:rsid w:val="00226C7B"/>
    <w:rsid w:val="0023029F"/>
    <w:rsid w:val="00230731"/>
    <w:rsid w:val="002308C6"/>
    <w:rsid w:val="00231281"/>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B22"/>
    <w:rsid w:val="00241D92"/>
    <w:rsid w:val="00243E93"/>
    <w:rsid w:val="00243FC6"/>
    <w:rsid w:val="00244709"/>
    <w:rsid w:val="00244D42"/>
    <w:rsid w:val="002450BF"/>
    <w:rsid w:val="00245149"/>
    <w:rsid w:val="00246FFA"/>
    <w:rsid w:val="00247076"/>
    <w:rsid w:val="00247EFF"/>
    <w:rsid w:val="00250D22"/>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55D4"/>
    <w:rsid w:val="00266CB2"/>
    <w:rsid w:val="002674F1"/>
    <w:rsid w:val="00267D0B"/>
    <w:rsid w:val="00270994"/>
    <w:rsid w:val="00270A1C"/>
    <w:rsid w:val="00270C0D"/>
    <w:rsid w:val="002714DF"/>
    <w:rsid w:val="002716E8"/>
    <w:rsid w:val="00271948"/>
    <w:rsid w:val="00271ED8"/>
    <w:rsid w:val="002724B9"/>
    <w:rsid w:val="002730ED"/>
    <w:rsid w:val="0027675D"/>
    <w:rsid w:val="00276768"/>
    <w:rsid w:val="0027683F"/>
    <w:rsid w:val="002801FB"/>
    <w:rsid w:val="00281030"/>
    <w:rsid w:val="00281718"/>
    <w:rsid w:val="00284052"/>
    <w:rsid w:val="00284D42"/>
    <w:rsid w:val="00284DD1"/>
    <w:rsid w:val="002854AD"/>
    <w:rsid w:val="002855D0"/>
    <w:rsid w:val="00285EBF"/>
    <w:rsid w:val="00286D9E"/>
    <w:rsid w:val="0029036D"/>
    <w:rsid w:val="00290E18"/>
    <w:rsid w:val="00291D54"/>
    <w:rsid w:val="00293A6E"/>
    <w:rsid w:val="00295507"/>
    <w:rsid w:val="00295842"/>
    <w:rsid w:val="00296302"/>
    <w:rsid w:val="00297A88"/>
    <w:rsid w:val="00297E40"/>
    <w:rsid w:val="002A1794"/>
    <w:rsid w:val="002A20D3"/>
    <w:rsid w:val="002A33D1"/>
    <w:rsid w:val="002A3492"/>
    <w:rsid w:val="002A4761"/>
    <w:rsid w:val="002A4840"/>
    <w:rsid w:val="002A4919"/>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608E"/>
    <w:rsid w:val="002B6A62"/>
    <w:rsid w:val="002B6DB2"/>
    <w:rsid w:val="002B6DDC"/>
    <w:rsid w:val="002B73AE"/>
    <w:rsid w:val="002C0864"/>
    <w:rsid w:val="002C0F12"/>
    <w:rsid w:val="002C3FF4"/>
    <w:rsid w:val="002C4649"/>
    <w:rsid w:val="002C52F5"/>
    <w:rsid w:val="002C5A22"/>
    <w:rsid w:val="002C6291"/>
    <w:rsid w:val="002D00AA"/>
    <w:rsid w:val="002D037B"/>
    <w:rsid w:val="002D044D"/>
    <w:rsid w:val="002D0F0A"/>
    <w:rsid w:val="002D35FA"/>
    <w:rsid w:val="002D3797"/>
    <w:rsid w:val="002D37AB"/>
    <w:rsid w:val="002D43AD"/>
    <w:rsid w:val="002D6461"/>
    <w:rsid w:val="002D650F"/>
    <w:rsid w:val="002D6B86"/>
    <w:rsid w:val="002D6E18"/>
    <w:rsid w:val="002D7436"/>
    <w:rsid w:val="002D7ED7"/>
    <w:rsid w:val="002E002E"/>
    <w:rsid w:val="002E0742"/>
    <w:rsid w:val="002E0864"/>
    <w:rsid w:val="002E0DE2"/>
    <w:rsid w:val="002E28F9"/>
    <w:rsid w:val="002E3470"/>
    <w:rsid w:val="002E4EB9"/>
    <w:rsid w:val="002E5737"/>
    <w:rsid w:val="002E60EB"/>
    <w:rsid w:val="002E674B"/>
    <w:rsid w:val="002E7525"/>
    <w:rsid w:val="002F01CA"/>
    <w:rsid w:val="002F05CC"/>
    <w:rsid w:val="002F05D7"/>
    <w:rsid w:val="002F1163"/>
    <w:rsid w:val="002F12B3"/>
    <w:rsid w:val="002F1B77"/>
    <w:rsid w:val="002F2924"/>
    <w:rsid w:val="002F3161"/>
    <w:rsid w:val="002F37BF"/>
    <w:rsid w:val="002F388A"/>
    <w:rsid w:val="002F3F53"/>
    <w:rsid w:val="002F5517"/>
    <w:rsid w:val="002F5DA7"/>
    <w:rsid w:val="002F66B7"/>
    <w:rsid w:val="002F79CF"/>
    <w:rsid w:val="002F7AA9"/>
    <w:rsid w:val="00302077"/>
    <w:rsid w:val="00302E83"/>
    <w:rsid w:val="003031CE"/>
    <w:rsid w:val="0030410B"/>
    <w:rsid w:val="00305358"/>
    <w:rsid w:val="00305932"/>
    <w:rsid w:val="0030617F"/>
    <w:rsid w:val="0030631A"/>
    <w:rsid w:val="0030650B"/>
    <w:rsid w:val="00310264"/>
    <w:rsid w:val="00310544"/>
    <w:rsid w:val="003110B2"/>
    <w:rsid w:val="00311F3D"/>
    <w:rsid w:val="00312C1A"/>
    <w:rsid w:val="00312DD1"/>
    <w:rsid w:val="00313308"/>
    <w:rsid w:val="0031414B"/>
    <w:rsid w:val="00314283"/>
    <w:rsid w:val="003144CA"/>
    <w:rsid w:val="00314FF5"/>
    <w:rsid w:val="00315418"/>
    <w:rsid w:val="00316470"/>
    <w:rsid w:val="00316E20"/>
    <w:rsid w:val="003171FD"/>
    <w:rsid w:val="00321077"/>
    <w:rsid w:val="00321692"/>
    <w:rsid w:val="00322390"/>
    <w:rsid w:val="003228D4"/>
    <w:rsid w:val="00322E28"/>
    <w:rsid w:val="00322EDB"/>
    <w:rsid w:val="003248F8"/>
    <w:rsid w:val="0032533C"/>
    <w:rsid w:val="003268BB"/>
    <w:rsid w:val="003275E3"/>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B60"/>
    <w:rsid w:val="00336046"/>
    <w:rsid w:val="003371B2"/>
    <w:rsid w:val="00340AAF"/>
    <w:rsid w:val="00340B00"/>
    <w:rsid w:val="00340F7E"/>
    <w:rsid w:val="00341C99"/>
    <w:rsid w:val="00341CF5"/>
    <w:rsid w:val="003436BE"/>
    <w:rsid w:val="003451EF"/>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D6E"/>
    <w:rsid w:val="003577BE"/>
    <w:rsid w:val="003620FA"/>
    <w:rsid w:val="00362991"/>
    <w:rsid w:val="00362FCF"/>
    <w:rsid w:val="00363A30"/>
    <w:rsid w:val="00363C85"/>
    <w:rsid w:val="003645A1"/>
    <w:rsid w:val="0036468F"/>
    <w:rsid w:val="00366993"/>
    <w:rsid w:val="00367690"/>
    <w:rsid w:val="0036770E"/>
    <w:rsid w:val="003678B5"/>
    <w:rsid w:val="00367C7E"/>
    <w:rsid w:val="00367C84"/>
    <w:rsid w:val="00370C8F"/>
    <w:rsid w:val="00370E0A"/>
    <w:rsid w:val="0037155B"/>
    <w:rsid w:val="00371876"/>
    <w:rsid w:val="00372C00"/>
    <w:rsid w:val="003737D0"/>
    <w:rsid w:val="00373D0E"/>
    <w:rsid w:val="00373D4E"/>
    <w:rsid w:val="003754F5"/>
    <w:rsid w:val="00376107"/>
    <w:rsid w:val="00380C28"/>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E5D"/>
    <w:rsid w:val="00391F87"/>
    <w:rsid w:val="003927FF"/>
    <w:rsid w:val="00393338"/>
    <w:rsid w:val="003937EC"/>
    <w:rsid w:val="00394558"/>
    <w:rsid w:val="00394FC5"/>
    <w:rsid w:val="00395560"/>
    <w:rsid w:val="00396952"/>
    <w:rsid w:val="00396C58"/>
    <w:rsid w:val="00397880"/>
    <w:rsid w:val="00397B39"/>
    <w:rsid w:val="00397C52"/>
    <w:rsid w:val="003A150D"/>
    <w:rsid w:val="003A2A06"/>
    <w:rsid w:val="003A3ACC"/>
    <w:rsid w:val="003A4C78"/>
    <w:rsid w:val="003A5159"/>
    <w:rsid w:val="003A552B"/>
    <w:rsid w:val="003A6B26"/>
    <w:rsid w:val="003A71C8"/>
    <w:rsid w:val="003A77FA"/>
    <w:rsid w:val="003A7F66"/>
    <w:rsid w:val="003B123B"/>
    <w:rsid w:val="003B132E"/>
    <w:rsid w:val="003B139B"/>
    <w:rsid w:val="003B1C05"/>
    <w:rsid w:val="003B3A50"/>
    <w:rsid w:val="003B3D29"/>
    <w:rsid w:val="003B448B"/>
    <w:rsid w:val="003B46A3"/>
    <w:rsid w:val="003B47C6"/>
    <w:rsid w:val="003B4FED"/>
    <w:rsid w:val="003B5182"/>
    <w:rsid w:val="003B594E"/>
    <w:rsid w:val="003B5EDA"/>
    <w:rsid w:val="003B774C"/>
    <w:rsid w:val="003B79ED"/>
    <w:rsid w:val="003C050E"/>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455"/>
    <w:rsid w:val="003D2877"/>
    <w:rsid w:val="003D2B72"/>
    <w:rsid w:val="003D42C7"/>
    <w:rsid w:val="003D5DFB"/>
    <w:rsid w:val="003D5F27"/>
    <w:rsid w:val="003D62CC"/>
    <w:rsid w:val="003D6A5E"/>
    <w:rsid w:val="003D7035"/>
    <w:rsid w:val="003D770D"/>
    <w:rsid w:val="003D7765"/>
    <w:rsid w:val="003E031C"/>
    <w:rsid w:val="003E0B33"/>
    <w:rsid w:val="003E1518"/>
    <w:rsid w:val="003E2D24"/>
    <w:rsid w:val="003E4095"/>
    <w:rsid w:val="003E42F6"/>
    <w:rsid w:val="003E48E7"/>
    <w:rsid w:val="003E6BF7"/>
    <w:rsid w:val="003E744C"/>
    <w:rsid w:val="003E74DF"/>
    <w:rsid w:val="003E7C95"/>
    <w:rsid w:val="003E7D68"/>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E3E"/>
    <w:rsid w:val="00404949"/>
    <w:rsid w:val="00405489"/>
    <w:rsid w:val="004060CF"/>
    <w:rsid w:val="00406593"/>
    <w:rsid w:val="004069B2"/>
    <w:rsid w:val="0040772C"/>
    <w:rsid w:val="00410408"/>
    <w:rsid w:val="004108ED"/>
    <w:rsid w:val="004109CF"/>
    <w:rsid w:val="00411350"/>
    <w:rsid w:val="004123C0"/>
    <w:rsid w:val="00413229"/>
    <w:rsid w:val="00413D6F"/>
    <w:rsid w:val="00414C20"/>
    <w:rsid w:val="00415023"/>
    <w:rsid w:val="00416B5E"/>
    <w:rsid w:val="004175F0"/>
    <w:rsid w:val="00420F17"/>
    <w:rsid w:val="004228A3"/>
    <w:rsid w:val="004229AC"/>
    <w:rsid w:val="00423D3B"/>
    <w:rsid w:val="004245A3"/>
    <w:rsid w:val="004246E2"/>
    <w:rsid w:val="00424760"/>
    <w:rsid w:val="00424874"/>
    <w:rsid w:val="00424A48"/>
    <w:rsid w:val="00425FD0"/>
    <w:rsid w:val="00426F21"/>
    <w:rsid w:val="004274EC"/>
    <w:rsid w:val="00427917"/>
    <w:rsid w:val="00430C93"/>
    <w:rsid w:val="004314E9"/>
    <w:rsid w:val="004322C6"/>
    <w:rsid w:val="00432C92"/>
    <w:rsid w:val="00433F05"/>
    <w:rsid w:val="00433FC8"/>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A9C"/>
    <w:rsid w:val="004505FC"/>
    <w:rsid w:val="00453750"/>
    <w:rsid w:val="004540CD"/>
    <w:rsid w:val="00454D5C"/>
    <w:rsid w:val="004555F7"/>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D34"/>
    <w:rsid w:val="0047305C"/>
    <w:rsid w:val="0047403A"/>
    <w:rsid w:val="00474161"/>
    <w:rsid w:val="00474C36"/>
    <w:rsid w:val="00475E38"/>
    <w:rsid w:val="0047663E"/>
    <w:rsid w:val="0048006F"/>
    <w:rsid w:val="004802C9"/>
    <w:rsid w:val="00480DEB"/>
    <w:rsid w:val="004816C1"/>
    <w:rsid w:val="00482BBB"/>
    <w:rsid w:val="00482BE3"/>
    <w:rsid w:val="00483831"/>
    <w:rsid w:val="004841FA"/>
    <w:rsid w:val="00485114"/>
    <w:rsid w:val="00485AE4"/>
    <w:rsid w:val="00486111"/>
    <w:rsid w:val="00486720"/>
    <w:rsid w:val="0049107E"/>
    <w:rsid w:val="0049176F"/>
    <w:rsid w:val="004918AD"/>
    <w:rsid w:val="00492EA5"/>
    <w:rsid w:val="00493247"/>
    <w:rsid w:val="00494AAD"/>
    <w:rsid w:val="00494FC0"/>
    <w:rsid w:val="004966BC"/>
    <w:rsid w:val="004A0053"/>
    <w:rsid w:val="004A1258"/>
    <w:rsid w:val="004A1837"/>
    <w:rsid w:val="004A2585"/>
    <w:rsid w:val="004A2687"/>
    <w:rsid w:val="004A402F"/>
    <w:rsid w:val="004A54C0"/>
    <w:rsid w:val="004A6230"/>
    <w:rsid w:val="004A7CAA"/>
    <w:rsid w:val="004B056D"/>
    <w:rsid w:val="004B10C0"/>
    <w:rsid w:val="004B12D7"/>
    <w:rsid w:val="004B2B05"/>
    <w:rsid w:val="004B2BBA"/>
    <w:rsid w:val="004B5502"/>
    <w:rsid w:val="004B6C86"/>
    <w:rsid w:val="004B71F4"/>
    <w:rsid w:val="004B74FE"/>
    <w:rsid w:val="004B76B6"/>
    <w:rsid w:val="004C0B5E"/>
    <w:rsid w:val="004C16C3"/>
    <w:rsid w:val="004C16F8"/>
    <w:rsid w:val="004C21FC"/>
    <w:rsid w:val="004C36B0"/>
    <w:rsid w:val="004C383B"/>
    <w:rsid w:val="004C42E2"/>
    <w:rsid w:val="004C6366"/>
    <w:rsid w:val="004C63EE"/>
    <w:rsid w:val="004C6C6D"/>
    <w:rsid w:val="004D042C"/>
    <w:rsid w:val="004D076F"/>
    <w:rsid w:val="004D1073"/>
    <w:rsid w:val="004D1EE6"/>
    <w:rsid w:val="004D1F5B"/>
    <w:rsid w:val="004D238B"/>
    <w:rsid w:val="004D325D"/>
    <w:rsid w:val="004D32C5"/>
    <w:rsid w:val="004D33A4"/>
    <w:rsid w:val="004D39A3"/>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CC0"/>
    <w:rsid w:val="004F4675"/>
    <w:rsid w:val="004F557E"/>
    <w:rsid w:val="004F5BE1"/>
    <w:rsid w:val="004F6083"/>
    <w:rsid w:val="004F68C9"/>
    <w:rsid w:val="004F7A02"/>
    <w:rsid w:val="00501570"/>
    <w:rsid w:val="0050160F"/>
    <w:rsid w:val="005017DA"/>
    <w:rsid w:val="00501E2B"/>
    <w:rsid w:val="00502096"/>
    <w:rsid w:val="00502F36"/>
    <w:rsid w:val="00503039"/>
    <w:rsid w:val="0050305F"/>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387B"/>
    <w:rsid w:val="00524F27"/>
    <w:rsid w:val="005254B1"/>
    <w:rsid w:val="00525585"/>
    <w:rsid w:val="00525BAC"/>
    <w:rsid w:val="0052657B"/>
    <w:rsid w:val="005305A8"/>
    <w:rsid w:val="005309BB"/>
    <w:rsid w:val="005339E6"/>
    <w:rsid w:val="00534869"/>
    <w:rsid w:val="00534F6A"/>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4B8F"/>
    <w:rsid w:val="005456D5"/>
    <w:rsid w:val="00545A04"/>
    <w:rsid w:val="00545A76"/>
    <w:rsid w:val="0054603A"/>
    <w:rsid w:val="00546957"/>
    <w:rsid w:val="00547409"/>
    <w:rsid w:val="0054755B"/>
    <w:rsid w:val="005506C7"/>
    <w:rsid w:val="00550E4D"/>
    <w:rsid w:val="005514AA"/>
    <w:rsid w:val="00551CB5"/>
    <w:rsid w:val="00553234"/>
    <w:rsid w:val="00553342"/>
    <w:rsid w:val="00553E9D"/>
    <w:rsid w:val="0055402E"/>
    <w:rsid w:val="005543B0"/>
    <w:rsid w:val="0055689F"/>
    <w:rsid w:val="00560225"/>
    <w:rsid w:val="00561349"/>
    <w:rsid w:val="005618C7"/>
    <w:rsid w:val="00562405"/>
    <w:rsid w:val="00562AF2"/>
    <w:rsid w:val="00565744"/>
    <w:rsid w:val="005657FC"/>
    <w:rsid w:val="00567054"/>
    <w:rsid w:val="005672C5"/>
    <w:rsid w:val="00567A4F"/>
    <w:rsid w:val="00567A9A"/>
    <w:rsid w:val="00570FEC"/>
    <w:rsid w:val="00571A8C"/>
    <w:rsid w:val="00571F06"/>
    <w:rsid w:val="00573328"/>
    <w:rsid w:val="0057377D"/>
    <w:rsid w:val="0057384A"/>
    <w:rsid w:val="00575E08"/>
    <w:rsid w:val="00576C2B"/>
    <w:rsid w:val="005824B8"/>
    <w:rsid w:val="00585E04"/>
    <w:rsid w:val="00586634"/>
    <w:rsid w:val="00586698"/>
    <w:rsid w:val="005910DD"/>
    <w:rsid w:val="00591846"/>
    <w:rsid w:val="00591B91"/>
    <w:rsid w:val="00591DDA"/>
    <w:rsid w:val="00593D18"/>
    <w:rsid w:val="005940C1"/>
    <w:rsid w:val="00594375"/>
    <w:rsid w:val="00594AC6"/>
    <w:rsid w:val="0059566C"/>
    <w:rsid w:val="0059585E"/>
    <w:rsid w:val="00596671"/>
    <w:rsid w:val="00597FD2"/>
    <w:rsid w:val="005A0418"/>
    <w:rsid w:val="005A0DF5"/>
    <w:rsid w:val="005A1385"/>
    <w:rsid w:val="005A2661"/>
    <w:rsid w:val="005A3156"/>
    <w:rsid w:val="005A3AB2"/>
    <w:rsid w:val="005A53DF"/>
    <w:rsid w:val="005A60EB"/>
    <w:rsid w:val="005A6185"/>
    <w:rsid w:val="005B0334"/>
    <w:rsid w:val="005B052E"/>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778A"/>
    <w:rsid w:val="005D00B8"/>
    <w:rsid w:val="005D014F"/>
    <w:rsid w:val="005D15A6"/>
    <w:rsid w:val="005D57F1"/>
    <w:rsid w:val="005D5FC6"/>
    <w:rsid w:val="005D67D5"/>
    <w:rsid w:val="005D680C"/>
    <w:rsid w:val="005D6847"/>
    <w:rsid w:val="005E06D3"/>
    <w:rsid w:val="005E17B3"/>
    <w:rsid w:val="005E27C0"/>
    <w:rsid w:val="005E2BED"/>
    <w:rsid w:val="005E4B6D"/>
    <w:rsid w:val="005E4F1C"/>
    <w:rsid w:val="005E5423"/>
    <w:rsid w:val="005E5675"/>
    <w:rsid w:val="005E67D0"/>
    <w:rsid w:val="005E7B04"/>
    <w:rsid w:val="005F05D7"/>
    <w:rsid w:val="005F05DE"/>
    <w:rsid w:val="005F075B"/>
    <w:rsid w:val="005F097D"/>
    <w:rsid w:val="005F1004"/>
    <w:rsid w:val="005F1FAE"/>
    <w:rsid w:val="005F2D3F"/>
    <w:rsid w:val="005F42AD"/>
    <w:rsid w:val="005F44F6"/>
    <w:rsid w:val="005F44FC"/>
    <w:rsid w:val="005F4E40"/>
    <w:rsid w:val="005F50A5"/>
    <w:rsid w:val="005F56A6"/>
    <w:rsid w:val="005F6041"/>
    <w:rsid w:val="005F62CA"/>
    <w:rsid w:val="005F6851"/>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7A61"/>
    <w:rsid w:val="00607C96"/>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41EE"/>
    <w:rsid w:val="00624437"/>
    <w:rsid w:val="00626CB7"/>
    <w:rsid w:val="00626F9F"/>
    <w:rsid w:val="00627ACD"/>
    <w:rsid w:val="00630383"/>
    <w:rsid w:val="006308BC"/>
    <w:rsid w:val="00630B29"/>
    <w:rsid w:val="00633DA7"/>
    <w:rsid w:val="00635291"/>
    <w:rsid w:val="006357BD"/>
    <w:rsid w:val="00636BB2"/>
    <w:rsid w:val="006406AF"/>
    <w:rsid w:val="006408DC"/>
    <w:rsid w:val="006413AD"/>
    <w:rsid w:val="006418AE"/>
    <w:rsid w:val="00642412"/>
    <w:rsid w:val="00642701"/>
    <w:rsid w:val="00643373"/>
    <w:rsid w:val="00643388"/>
    <w:rsid w:val="00643A7A"/>
    <w:rsid w:val="0064412D"/>
    <w:rsid w:val="00644FE4"/>
    <w:rsid w:val="0064545A"/>
    <w:rsid w:val="006459C0"/>
    <w:rsid w:val="00645ADA"/>
    <w:rsid w:val="00646CE6"/>
    <w:rsid w:val="00646F8A"/>
    <w:rsid w:val="006478D7"/>
    <w:rsid w:val="006479E2"/>
    <w:rsid w:val="00647A5E"/>
    <w:rsid w:val="006503F8"/>
    <w:rsid w:val="00650BFB"/>
    <w:rsid w:val="00650D0F"/>
    <w:rsid w:val="00651856"/>
    <w:rsid w:val="006521E7"/>
    <w:rsid w:val="00652C4B"/>
    <w:rsid w:val="00652C98"/>
    <w:rsid w:val="00653607"/>
    <w:rsid w:val="00653FD4"/>
    <w:rsid w:val="00655724"/>
    <w:rsid w:val="0065579F"/>
    <w:rsid w:val="006569D2"/>
    <w:rsid w:val="00656F8E"/>
    <w:rsid w:val="00660910"/>
    <w:rsid w:val="00661810"/>
    <w:rsid w:val="006631E5"/>
    <w:rsid w:val="00665721"/>
    <w:rsid w:val="00667196"/>
    <w:rsid w:val="00670351"/>
    <w:rsid w:val="006706AA"/>
    <w:rsid w:val="006718B7"/>
    <w:rsid w:val="006730FB"/>
    <w:rsid w:val="00673154"/>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541"/>
    <w:rsid w:val="006879E7"/>
    <w:rsid w:val="00690054"/>
    <w:rsid w:val="0069085A"/>
    <w:rsid w:val="00690BB8"/>
    <w:rsid w:val="00690D3F"/>
    <w:rsid w:val="006911FB"/>
    <w:rsid w:val="0069144C"/>
    <w:rsid w:val="0069161A"/>
    <w:rsid w:val="0069189C"/>
    <w:rsid w:val="00691E28"/>
    <w:rsid w:val="00694740"/>
    <w:rsid w:val="006954BD"/>
    <w:rsid w:val="00697138"/>
    <w:rsid w:val="0069757C"/>
    <w:rsid w:val="006978B2"/>
    <w:rsid w:val="00697DD7"/>
    <w:rsid w:val="006A187D"/>
    <w:rsid w:val="006A1D82"/>
    <w:rsid w:val="006A1EFA"/>
    <w:rsid w:val="006A247E"/>
    <w:rsid w:val="006A2689"/>
    <w:rsid w:val="006A451F"/>
    <w:rsid w:val="006A4D7D"/>
    <w:rsid w:val="006A575A"/>
    <w:rsid w:val="006A60AE"/>
    <w:rsid w:val="006A63F2"/>
    <w:rsid w:val="006A65E1"/>
    <w:rsid w:val="006A67C2"/>
    <w:rsid w:val="006A6A31"/>
    <w:rsid w:val="006A7494"/>
    <w:rsid w:val="006B091B"/>
    <w:rsid w:val="006B0BCD"/>
    <w:rsid w:val="006B0C03"/>
    <w:rsid w:val="006B0CBE"/>
    <w:rsid w:val="006B0D2B"/>
    <w:rsid w:val="006B1969"/>
    <w:rsid w:val="006B2338"/>
    <w:rsid w:val="006B2F1E"/>
    <w:rsid w:val="006B3A67"/>
    <w:rsid w:val="006B3DD7"/>
    <w:rsid w:val="006B48F1"/>
    <w:rsid w:val="006B609B"/>
    <w:rsid w:val="006B6512"/>
    <w:rsid w:val="006B6F57"/>
    <w:rsid w:val="006B75A6"/>
    <w:rsid w:val="006C1FA4"/>
    <w:rsid w:val="006C20D8"/>
    <w:rsid w:val="006C23E4"/>
    <w:rsid w:val="006C2D21"/>
    <w:rsid w:val="006C426B"/>
    <w:rsid w:val="006C60A2"/>
    <w:rsid w:val="006C6193"/>
    <w:rsid w:val="006C6FCD"/>
    <w:rsid w:val="006C76A2"/>
    <w:rsid w:val="006D0533"/>
    <w:rsid w:val="006D1E7B"/>
    <w:rsid w:val="006D308A"/>
    <w:rsid w:val="006D4067"/>
    <w:rsid w:val="006D436D"/>
    <w:rsid w:val="006D4742"/>
    <w:rsid w:val="006D5430"/>
    <w:rsid w:val="006D614B"/>
    <w:rsid w:val="006D63EF"/>
    <w:rsid w:val="006D7C19"/>
    <w:rsid w:val="006D7CA8"/>
    <w:rsid w:val="006D7DC0"/>
    <w:rsid w:val="006E0220"/>
    <w:rsid w:val="006E0863"/>
    <w:rsid w:val="006E1867"/>
    <w:rsid w:val="006E1CB0"/>
    <w:rsid w:val="006E2FE4"/>
    <w:rsid w:val="006E36C6"/>
    <w:rsid w:val="006E390B"/>
    <w:rsid w:val="006E3B73"/>
    <w:rsid w:val="006E3C53"/>
    <w:rsid w:val="006E3C66"/>
    <w:rsid w:val="006E45CF"/>
    <w:rsid w:val="006E5517"/>
    <w:rsid w:val="006E5E2F"/>
    <w:rsid w:val="006E635E"/>
    <w:rsid w:val="006E6735"/>
    <w:rsid w:val="006E7570"/>
    <w:rsid w:val="006F16DA"/>
    <w:rsid w:val="006F2252"/>
    <w:rsid w:val="006F2392"/>
    <w:rsid w:val="006F259F"/>
    <w:rsid w:val="006F3C01"/>
    <w:rsid w:val="006F3D72"/>
    <w:rsid w:val="006F3E5D"/>
    <w:rsid w:val="006F3FB1"/>
    <w:rsid w:val="006F455C"/>
    <w:rsid w:val="006F4B94"/>
    <w:rsid w:val="006F511B"/>
    <w:rsid w:val="006F5EC6"/>
    <w:rsid w:val="006F6130"/>
    <w:rsid w:val="006F6C14"/>
    <w:rsid w:val="006F6CFF"/>
    <w:rsid w:val="006F6EB8"/>
    <w:rsid w:val="006F72DD"/>
    <w:rsid w:val="006F7F2A"/>
    <w:rsid w:val="007001AD"/>
    <w:rsid w:val="00700415"/>
    <w:rsid w:val="007004DA"/>
    <w:rsid w:val="00701C87"/>
    <w:rsid w:val="00702603"/>
    <w:rsid w:val="0070292E"/>
    <w:rsid w:val="0070393B"/>
    <w:rsid w:val="007040C7"/>
    <w:rsid w:val="007042B4"/>
    <w:rsid w:val="00704BC7"/>
    <w:rsid w:val="007051AF"/>
    <w:rsid w:val="007053D9"/>
    <w:rsid w:val="00705FA1"/>
    <w:rsid w:val="00706D3C"/>
    <w:rsid w:val="0070714D"/>
    <w:rsid w:val="0070743D"/>
    <w:rsid w:val="00707E83"/>
    <w:rsid w:val="00711E45"/>
    <w:rsid w:val="007131D1"/>
    <w:rsid w:val="0071582C"/>
    <w:rsid w:val="007165B5"/>
    <w:rsid w:val="007165BE"/>
    <w:rsid w:val="007200FA"/>
    <w:rsid w:val="00722AE4"/>
    <w:rsid w:val="00723530"/>
    <w:rsid w:val="0072418A"/>
    <w:rsid w:val="00724690"/>
    <w:rsid w:val="00725CC4"/>
    <w:rsid w:val="00725F16"/>
    <w:rsid w:val="00726958"/>
    <w:rsid w:val="00727B28"/>
    <w:rsid w:val="00727D4D"/>
    <w:rsid w:val="00731322"/>
    <w:rsid w:val="00731D62"/>
    <w:rsid w:val="00731E30"/>
    <w:rsid w:val="00731EBF"/>
    <w:rsid w:val="00731EFE"/>
    <w:rsid w:val="00733C76"/>
    <w:rsid w:val="00733DEC"/>
    <w:rsid w:val="00734156"/>
    <w:rsid w:val="0073571F"/>
    <w:rsid w:val="00736826"/>
    <w:rsid w:val="00736CDD"/>
    <w:rsid w:val="00736FEF"/>
    <w:rsid w:val="00737516"/>
    <w:rsid w:val="00740063"/>
    <w:rsid w:val="0074088F"/>
    <w:rsid w:val="00741230"/>
    <w:rsid w:val="00742659"/>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F43"/>
    <w:rsid w:val="00771468"/>
    <w:rsid w:val="007719AC"/>
    <w:rsid w:val="00772B76"/>
    <w:rsid w:val="00773099"/>
    <w:rsid w:val="00773686"/>
    <w:rsid w:val="00775B93"/>
    <w:rsid w:val="0077606C"/>
    <w:rsid w:val="007766F6"/>
    <w:rsid w:val="00776A65"/>
    <w:rsid w:val="00776AD0"/>
    <w:rsid w:val="00776F5E"/>
    <w:rsid w:val="007774DA"/>
    <w:rsid w:val="00780552"/>
    <w:rsid w:val="00780871"/>
    <w:rsid w:val="0078131F"/>
    <w:rsid w:val="007841C6"/>
    <w:rsid w:val="0078603B"/>
    <w:rsid w:val="0078657A"/>
    <w:rsid w:val="00786C73"/>
    <w:rsid w:val="00786DD7"/>
    <w:rsid w:val="00787A57"/>
    <w:rsid w:val="00787B7D"/>
    <w:rsid w:val="00787D57"/>
    <w:rsid w:val="00787FA4"/>
    <w:rsid w:val="00790361"/>
    <w:rsid w:val="00790441"/>
    <w:rsid w:val="0079151F"/>
    <w:rsid w:val="00791D1D"/>
    <w:rsid w:val="00792237"/>
    <w:rsid w:val="00792A3E"/>
    <w:rsid w:val="00792D48"/>
    <w:rsid w:val="00793203"/>
    <w:rsid w:val="007933D2"/>
    <w:rsid w:val="007938C0"/>
    <w:rsid w:val="00793B50"/>
    <w:rsid w:val="00794677"/>
    <w:rsid w:val="007949AF"/>
    <w:rsid w:val="0079563E"/>
    <w:rsid w:val="00795931"/>
    <w:rsid w:val="00796A2A"/>
    <w:rsid w:val="00796F1A"/>
    <w:rsid w:val="007970D5"/>
    <w:rsid w:val="0079717C"/>
    <w:rsid w:val="007971D6"/>
    <w:rsid w:val="007975CB"/>
    <w:rsid w:val="007A0277"/>
    <w:rsid w:val="007A053E"/>
    <w:rsid w:val="007A2A69"/>
    <w:rsid w:val="007A3AD3"/>
    <w:rsid w:val="007A664B"/>
    <w:rsid w:val="007A6821"/>
    <w:rsid w:val="007A696E"/>
    <w:rsid w:val="007A7D67"/>
    <w:rsid w:val="007B055F"/>
    <w:rsid w:val="007B0BAC"/>
    <w:rsid w:val="007B32EB"/>
    <w:rsid w:val="007B3423"/>
    <w:rsid w:val="007B3EE9"/>
    <w:rsid w:val="007B4B41"/>
    <w:rsid w:val="007B5040"/>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6CEC"/>
    <w:rsid w:val="007C6D72"/>
    <w:rsid w:val="007C74D0"/>
    <w:rsid w:val="007D1324"/>
    <w:rsid w:val="007D1769"/>
    <w:rsid w:val="007D2587"/>
    <w:rsid w:val="007D36F2"/>
    <w:rsid w:val="007D405E"/>
    <w:rsid w:val="007D4D85"/>
    <w:rsid w:val="007D5695"/>
    <w:rsid w:val="007D59EE"/>
    <w:rsid w:val="007D5A25"/>
    <w:rsid w:val="007E014C"/>
    <w:rsid w:val="007E0813"/>
    <w:rsid w:val="007E0BC6"/>
    <w:rsid w:val="007E0F24"/>
    <w:rsid w:val="007E14CD"/>
    <w:rsid w:val="007E17B1"/>
    <w:rsid w:val="007E27C0"/>
    <w:rsid w:val="007E2BFA"/>
    <w:rsid w:val="007E2EFD"/>
    <w:rsid w:val="007E417F"/>
    <w:rsid w:val="007E4716"/>
    <w:rsid w:val="007E5941"/>
    <w:rsid w:val="007E6244"/>
    <w:rsid w:val="007E6E32"/>
    <w:rsid w:val="007E771D"/>
    <w:rsid w:val="007F01C9"/>
    <w:rsid w:val="007F11E8"/>
    <w:rsid w:val="007F15D3"/>
    <w:rsid w:val="007F1AD0"/>
    <w:rsid w:val="007F25ED"/>
    <w:rsid w:val="007F31F1"/>
    <w:rsid w:val="007F348A"/>
    <w:rsid w:val="007F3DA7"/>
    <w:rsid w:val="007F4203"/>
    <w:rsid w:val="007F4E3A"/>
    <w:rsid w:val="007F502E"/>
    <w:rsid w:val="007F5891"/>
    <w:rsid w:val="007F65F6"/>
    <w:rsid w:val="007F6A42"/>
    <w:rsid w:val="0080049C"/>
    <w:rsid w:val="008013CA"/>
    <w:rsid w:val="00802FB3"/>
    <w:rsid w:val="008032AF"/>
    <w:rsid w:val="008056CF"/>
    <w:rsid w:val="00806063"/>
    <w:rsid w:val="008066C8"/>
    <w:rsid w:val="00806C7C"/>
    <w:rsid w:val="00806EC6"/>
    <w:rsid w:val="0080728E"/>
    <w:rsid w:val="00807E4C"/>
    <w:rsid w:val="008115B4"/>
    <w:rsid w:val="00811A11"/>
    <w:rsid w:val="00812603"/>
    <w:rsid w:val="00813E78"/>
    <w:rsid w:val="0081405E"/>
    <w:rsid w:val="00814945"/>
    <w:rsid w:val="00814985"/>
    <w:rsid w:val="008160BF"/>
    <w:rsid w:val="00816F96"/>
    <w:rsid w:val="008170EC"/>
    <w:rsid w:val="008175D4"/>
    <w:rsid w:val="00823AF8"/>
    <w:rsid w:val="00824E37"/>
    <w:rsid w:val="00824F00"/>
    <w:rsid w:val="00825004"/>
    <w:rsid w:val="00825BB0"/>
    <w:rsid w:val="00825D20"/>
    <w:rsid w:val="00826450"/>
    <w:rsid w:val="008267CB"/>
    <w:rsid w:val="00827512"/>
    <w:rsid w:val="00827DB0"/>
    <w:rsid w:val="00831EF0"/>
    <w:rsid w:val="00832285"/>
    <w:rsid w:val="008334C6"/>
    <w:rsid w:val="008341C0"/>
    <w:rsid w:val="008343B2"/>
    <w:rsid w:val="00834992"/>
    <w:rsid w:val="00834EA9"/>
    <w:rsid w:val="00835069"/>
    <w:rsid w:val="00835356"/>
    <w:rsid w:val="008360E6"/>
    <w:rsid w:val="00836D5A"/>
    <w:rsid w:val="0083795A"/>
    <w:rsid w:val="00837C2E"/>
    <w:rsid w:val="00837C9F"/>
    <w:rsid w:val="00842680"/>
    <w:rsid w:val="00842AA3"/>
    <w:rsid w:val="00843379"/>
    <w:rsid w:val="008436F0"/>
    <w:rsid w:val="00843DAA"/>
    <w:rsid w:val="00843F40"/>
    <w:rsid w:val="00845DB8"/>
    <w:rsid w:val="00845E4F"/>
    <w:rsid w:val="00846BE0"/>
    <w:rsid w:val="008470CC"/>
    <w:rsid w:val="008505B6"/>
    <w:rsid w:val="00850AD1"/>
    <w:rsid w:val="00851917"/>
    <w:rsid w:val="00851A3E"/>
    <w:rsid w:val="00851C79"/>
    <w:rsid w:val="00852259"/>
    <w:rsid w:val="0085327E"/>
    <w:rsid w:val="00853419"/>
    <w:rsid w:val="008534F4"/>
    <w:rsid w:val="00853B6F"/>
    <w:rsid w:val="00854303"/>
    <w:rsid w:val="008543D3"/>
    <w:rsid w:val="00855AA3"/>
    <w:rsid w:val="00855BD4"/>
    <w:rsid w:val="00855CBD"/>
    <w:rsid w:val="00856EF3"/>
    <w:rsid w:val="00856F99"/>
    <w:rsid w:val="008609B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6FB8"/>
    <w:rsid w:val="00897E94"/>
    <w:rsid w:val="00897FAC"/>
    <w:rsid w:val="008A0087"/>
    <w:rsid w:val="008A0162"/>
    <w:rsid w:val="008A1BDC"/>
    <w:rsid w:val="008A23C9"/>
    <w:rsid w:val="008A271F"/>
    <w:rsid w:val="008A4FE1"/>
    <w:rsid w:val="008A5246"/>
    <w:rsid w:val="008A5923"/>
    <w:rsid w:val="008A5B55"/>
    <w:rsid w:val="008A5C7C"/>
    <w:rsid w:val="008A5E28"/>
    <w:rsid w:val="008A6F40"/>
    <w:rsid w:val="008A7884"/>
    <w:rsid w:val="008B0715"/>
    <w:rsid w:val="008B0FDB"/>
    <w:rsid w:val="008B2AF7"/>
    <w:rsid w:val="008B302A"/>
    <w:rsid w:val="008B4198"/>
    <w:rsid w:val="008B4609"/>
    <w:rsid w:val="008B46D7"/>
    <w:rsid w:val="008B69F3"/>
    <w:rsid w:val="008B725C"/>
    <w:rsid w:val="008C1045"/>
    <w:rsid w:val="008C1D6D"/>
    <w:rsid w:val="008C21EB"/>
    <w:rsid w:val="008C2BB9"/>
    <w:rsid w:val="008C3EFD"/>
    <w:rsid w:val="008C3F98"/>
    <w:rsid w:val="008C402A"/>
    <w:rsid w:val="008C4684"/>
    <w:rsid w:val="008C56E2"/>
    <w:rsid w:val="008C594A"/>
    <w:rsid w:val="008C5B29"/>
    <w:rsid w:val="008C5C15"/>
    <w:rsid w:val="008D1D48"/>
    <w:rsid w:val="008D1DAC"/>
    <w:rsid w:val="008D23AF"/>
    <w:rsid w:val="008D3729"/>
    <w:rsid w:val="008D3A05"/>
    <w:rsid w:val="008D3E0C"/>
    <w:rsid w:val="008D4234"/>
    <w:rsid w:val="008D4296"/>
    <w:rsid w:val="008D4A56"/>
    <w:rsid w:val="008D681A"/>
    <w:rsid w:val="008D6B1A"/>
    <w:rsid w:val="008D6D38"/>
    <w:rsid w:val="008E04EC"/>
    <w:rsid w:val="008E0617"/>
    <w:rsid w:val="008E0985"/>
    <w:rsid w:val="008E16DE"/>
    <w:rsid w:val="008E17B2"/>
    <w:rsid w:val="008E17D5"/>
    <w:rsid w:val="008E19A0"/>
    <w:rsid w:val="008E1C51"/>
    <w:rsid w:val="008E24FF"/>
    <w:rsid w:val="008E41F4"/>
    <w:rsid w:val="008E4AB6"/>
    <w:rsid w:val="008E4BCE"/>
    <w:rsid w:val="008E5B71"/>
    <w:rsid w:val="008E5E80"/>
    <w:rsid w:val="008E705E"/>
    <w:rsid w:val="008E74B4"/>
    <w:rsid w:val="008F196B"/>
    <w:rsid w:val="008F2453"/>
    <w:rsid w:val="008F34E9"/>
    <w:rsid w:val="008F350F"/>
    <w:rsid w:val="008F4502"/>
    <w:rsid w:val="008F45D4"/>
    <w:rsid w:val="008F662A"/>
    <w:rsid w:val="00900370"/>
    <w:rsid w:val="00900911"/>
    <w:rsid w:val="00901680"/>
    <w:rsid w:val="00902833"/>
    <w:rsid w:val="009039E2"/>
    <w:rsid w:val="00904458"/>
    <w:rsid w:val="0090762D"/>
    <w:rsid w:val="009102E2"/>
    <w:rsid w:val="009107DE"/>
    <w:rsid w:val="0091196A"/>
    <w:rsid w:val="00911DC9"/>
    <w:rsid w:val="009123FF"/>
    <w:rsid w:val="00912D58"/>
    <w:rsid w:val="0091563F"/>
    <w:rsid w:val="00915BE3"/>
    <w:rsid w:val="009164CD"/>
    <w:rsid w:val="00916C40"/>
    <w:rsid w:val="00917271"/>
    <w:rsid w:val="0091740C"/>
    <w:rsid w:val="00917F3D"/>
    <w:rsid w:val="00922A9F"/>
    <w:rsid w:val="009230F4"/>
    <w:rsid w:val="009233DD"/>
    <w:rsid w:val="009233F9"/>
    <w:rsid w:val="00925478"/>
    <w:rsid w:val="00925A8F"/>
    <w:rsid w:val="00925D8E"/>
    <w:rsid w:val="009269F5"/>
    <w:rsid w:val="00927AC6"/>
    <w:rsid w:val="00930538"/>
    <w:rsid w:val="00930B1B"/>
    <w:rsid w:val="00930CAD"/>
    <w:rsid w:val="00930D7F"/>
    <w:rsid w:val="0093105E"/>
    <w:rsid w:val="009323F1"/>
    <w:rsid w:val="00932985"/>
    <w:rsid w:val="00934ADA"/>
    <w:rsid w:val="0093545D"/>
    <w:rsid w:val="009362D5"/>
    <w:rsid w:val="00937A62"/>
    <w:rsid w:val="009400CF"/>
    <w:rsid w:val="00940533"/>
    <w:rsid w:val="00940C4A"/>
    <w:rsid w:val="009410AE"/>
    <w:rsid w:val="00942C37"/>
    <w:rsid w:val="009432FE"/>
    <w:rsid w:val="009438F8"/>
    <w:rsid w:val="00944414"/>
    <w:rsid w:val="00945FA9"/>
    <w:rsid w:val="0094691D"/>
    <w:rsid w:val="0095026D"/>
    <w:rsid w:val="009523B0"/>
    <w:rsid w:val="009538CE"/>
    <w:rsid w:val="009540F4"/>
    <w:rsid w:val="009545BE"/>
    <w:rsid w:val="00954A56"/>
    <w:rsid w:val="00954F42"/>
    <w:rsid w:val="0095557F"/>
    <w:rsid w:val="00957172"/>
    <w:rsid w:val="0095730B"/>
    <w:rsid w:val="009573F9"/>
    <w:rsid w:val="009578D1"/>
    <w:rsid w:val="00957A33"/>
    <w:rsid w:val="00957CC4"/>
    <w:rsid w:val="0096003B"/>
    <w:rsid w:val="0096053C"/>
    <w:rsid w:val="0096081E"/>
    <w:rsid w:val="00960F8E"/>
    <w:rsid w:val="0096137E"/>
    <w:rsid w:val="00961C60"/>
    <w:rsid w:val="00961E92"/>
    <w:rsid w:val="009624E6"/>
    <w:rsid w:val="009647C5"/>
    <w:rsid w:val="00965C67"/>
    <w:rsid w:val="0096604F"/>
    <w:rsid w:val="00966280"/>
    <w:rsid w:val="009663C5"/>
    <w:rsid w:val="0096663C"/>
    <w:rsid w:val="00966709"/>
    <w:rsid w:val="0096684A"/>
    <w:rsid w:val="00966A0C"/>
    <w:rsid w:val="00971DDC"/>
    <w:rsid w:val="0097502F"/>
    <w:rsid w:val="009755AD"/>
    <w:rsid w:val="009757E0"/>
    <w:rsid w:val="00976D9D"/>
    <w:rsid w:val="0097718E"/>
    <w:rsid w:val="009778FC"/>
    <w:rsid w:val="009800B6"/>
    <w:rsid w:val="009809FF"/>
    <w:rsid w:val="00980CAA"/>
    <w:rsid w:val="00981D65"/>
    <w:rsid w:val="009828A5"/>
    <w:rsid w:val="009857CB"/>
    <w:rsid w:val="00985DB7"/>
    <w:rsid w:val="0098600C"/>
    <w:rsid w:val="009861C6"/>
    <w:rsid w:val="00986A06"/>
    <w:rsid w:val="00986B3C"/>
    <w:rsid w:val="00986D52"/>
    <w:rsid w:val="00987C97"/>
    <w:rsid w:val="009903A8"/>
    <w:rsid w:val="009905EB"/>
    <w:rsid w:val="00991070"/>
    <w:rsid w:val="00992DCD"/>
    <w:rsid w:val="00993409"/>
    <w:rsid w:val="00993BC5"/>
    <w:rsid w:val="00993E50"/>
    <w:rsid w:val="00994702"/>
    <w:rsid w:val="0099570E"/>
    <w:rsid w:val="0099627C"/>
    <w:rsid w:val="00996E62"/>
    <w:rsid w:val="00997875"/>
    <w:rsid w:val="00997D39"/>
    <w:rsid w:val="00997FD5"/>
    <w:rsid w:val="009A0066"/>
    <w:rsid w:val="009A1CA8"/>
    <w:rsid w:val="009A2E11"/>
    <w:rsid w:val="009A32AC"/>
    <w:rsid w:val="009A3405"/>
    <w:rsid w:val="009A36C0"/>
    <w:rsid w:val="009A405A"/>
    <w:rsid w:val="009A4714"/>
    <w:rsid w:val="009A4C6F"/>
    <w:rsid w:val="009A5082"/>
    <w:rsid w:val="009A5185"/>
    <w:rsid w:val="009A618E"/>
    <w:rsid w:val="009A6ACB"/>
    <w:rsid w:val="009B04D5"/>
    <w:rsid w:val="009B0780"/>
    <w:rsid w:val="009B155B"/>
    <w:rsid w:val="009B183F"/>
    <w:rsid w:val="009B1B89"/>
    <w:rsid w:val="009B1F5B"/>
    <w:rsid w:val="009B250C"/>
    <w:rsid w:val="009B3DB8"/>
    <w:rsid w:val="009B3FBC"/>
    <w:rsid w:val="009B4769"/>
    <w:rsid w:val="009B5252"/>
    <w:rsid w:val="009B5E4A"/>
    <w:rsid w:val="009B69E6"/>
    <w:rsid w:val="009B78B8"/>
    <w:rsid w:val="009B7E19"/>
    <w:rsid w:val="009C0E1F"/>
    <w:rsid w:val="009C2086"/>
    <w:rsid w:val="009C3006"/>
    <w:rsid w:val="009C3995"/>
    <w:rsid w:val="009C3A55"/>
    <w:rsid w:val="009C404E"/>
    <w:rsid w:val="009C7D32"/>
    <w:rsid w:val="009D01B0"/>
    <w:rsid w:val="009D0BD2"/>
    <w:rsid w:val="009D159F"/>
    <w:rsid w:val="009D2687"/>
    <w:rsid w:val="009D2A16"/>
    <w:rsid w:val="009D2EA0"/>
    <w:rsid w:val="009D3725"/>
    <w:rsid w:val="009D3B8B"/>
    <w:rsid w:val="009D435C"/>
    <w:rsid w:val="009D4DB6"/>
    <w:rsid w:val="009D4F76"/>
    <w:rsid w:val="009D61F9"/>
    <w:rsid w:val="009D6241"/>
    <w:rsid w:val="009D685C"/>
    <w:rsid w:val="009D6952"/>
    <w:rsid w:val="009D6965"/>
    <w:rsid w:val="009D7F9A"/>
    <w:rsid w:val="009E068F"/>
    <w:rsid w:val="009E18B9"/>
    <w:rsid w:val="009E1B89"/>
    <w:rsid w:val="009E2829"/>
    <w:rsid w:val="009E2CD7"/>
    <w:rsid w:val="009E375F"/>
    <w:rsid w:val="009E42E6"/>
    <w:rsid w:val="009E619C"/>
    <w:rsid w:val="009E7020"/>
    <w:rsid w:val="009E7045"/>
    <w:rsid w:val="009E748B"/>
    <w:rsid w:val="009F012C"/>
    <w:rsid w:val="009F13FE"/>
    <w:rsid w:val="009F2244"/>
    <w:rsid w:val="009F2E2F"/>
    <w:rsid w:val="009F36B2"/>
    <w:rsid w:val="009F396F"/>
    <w:rsid w:val="009F3D12"/>
    <w:rsid w:val="009F47C5"/>
    <w:rsid w:val="009F480E"/>
    <w:rsid w:val="009F51E2"/>
    <w:rsid w:val="009F58FB"/>
    <w:rsid w:val="009F61B7"/>
    <w:rsid w:val="009F6906"/>
    <w:rsid w:val="00A0017C"/>
    <w:rsid w:val="00A00C9C"/>
    <w:rsid w:val="00A02EFD"/>
    <w:rsid w:val="00A03D3F"/>
    <w:rsid w:val="00A04BEB"/>
    <w:rsid w:val="00A04DE2"/>
    <w:rsid w:val="00A06515"/>
    <w:rsid w:val="00A07F5B"/>
    <w:rsid w:val="00A07FB2"/>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60"/>
    <w:rsid w:val="00A252D8"/>
    <w:rsid w:val="00A25672"/>
    <w:rsid w:val="00A2769F"/>
    <w:rsid w:val="00A27E76"/>
    <w:rsid w:val="00A3183F"/>
    <w:rsid w:val="00A31A13"/>
    <w:rsid w:val="00A31A7B"/>
    <w:rsid w:val="00A323D7"/>
    <w:rsid w:val="00A32701"/>
    <w:rsid w:val="00A330EB"/>
    <w:rsid w:val="00A334CC"/>
    <w:rsid w:val="00A3376B"/>
    <w:rsid w:val="00A33803"/>
    <w:rsid w:val="00A34882"/>
    <w:rsid w:val="00A35D08"/>
    <w:rsid w:val="00A36851"/>
    <w:rsid w:val="00A36B27"/>
    <w:rsid w:val="00A37FF9"/>
    <w:rsid w:val="00A42910"/>
    <w:rsid w:val="00A4388D"/>
    <w:rsid w:val="00A44BE1"/>
    <w:rsid w:val="00A44C3B"/>
    <w:rsid w:val="00A44DE3"/>
    <w:rsid w:val="00A4500D"/>
    <w:rsid w:val="00A456C9"/>
    <w:rsid w:val="00A504A8"/>
    <w:rsid w:val="00A529EC"/>
    <w:rsid w:val="00A533D7"/>
    <w:rsid w:val="00A53911"/>
    <w:rsid w:val="00A53DD7"/>
    <w:rsid w:val="00A542B8"/>
    <w:rsid w:val="00A54719"/>
    <w:rsid w:val="00A54BC0"/>
    <w:rsid w:val="00A5576E"/>
    <w:rsid w:val="00A56B27"/>
    <w:rsid w:val="00A5709E"/>
    <w:rsid w:val="00A57120"/>
    <w:rsid w:val="00A57123"/>
    <w:rsid w:val="00A5714F"/>
    <w:rsid w:val="00A6046D"/>
    <w:rsid w:val="00A6050B"/>
    <w:rsid w:val="00A612B9"/>
    <w:rsid w:val="00A624EA"/>
    <w:rsid w:val="00A64DE1"/>
    <w:rsid w:val="00A6585A"/>
    <w:rsid w:val="00A66029"/>
    <w:rsid w:val="00A6657C"/>
    <w:rsid w:val="00A665FB"/>
    <w:rsid w:val="00A66B14"/>
    <w:rsid w:val="00A66CF8"/>
    <w:rsid w:val="00A66F4D"/>
    <w:rsid w:val="00A70763"/>
    <w:rsid w:val="00A71C52"/>
    <w:rsid w:val="00A72431"/>
    <w:rsid w:val="00A72623"/>
    <w:rsid w:val="00A727DA"/>
    <w:rsid w:val="00A72B21"/>
    <w:rsid w:val="00A73251"/>
    <w:rsid w:val="00A737E2"/>
    <w:rsid w:val="00A74D50"/>
    <w:rsid w:val="00A74F48"/>
    <w:rsid w:val="00A756EC"/>
    <w:rsid w:val="00A76917"/>
    <w:rsid w:val="00A815A9"/>
    <w:rsid w:val="00A81A3A"/>
    <w:rsid w:val="00A81B95"/>
    <w:rsid w:val="00A81EF8"/>
    <w:rsid w:val="00A823B2"/>
    <w:rsid w:val="00A82611"/>
    <w:rsid w:val="00A83745"/>
    <w:rsid w:val="00A83E6C"/>
    <w:rsid w:val="00A84D8D"/>
    <w:rsid w:val="00A854F8"/>
    <w:rsid w:val="00A8624C"/>
    <w:rsid w:val="00A900AE"/>
    <w:rsid w:val="00A90616"/>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28BD"/>
    <w:rsid w:val="00AA31A1"/>
    <w:rsid w:val="00AA3298"/>
    <w:rsid w:val="00AA3C58"/>
    <w:rsid w:val="00AA41AA"/>
    <w:rsid w:val="00AA4948"/>
    <w:rsid w:val="00AA4BBF"/>
    <w:rsid w:val="00AA5229"/>
    <w:rsid w:val="00AA5752"/>
    <w:rsid w:val="00AA59E7"/>
    <w:rsid w:val="00AA5FA5"/>
    <w:rsid w:val="00AA6892"/>
    <w:rsid w:val="00AA713B"/>
    <w:rsid w:val="00AA72CC"/>
    <w:rsid w:val="00AA76B7"/>
    <w:rsid w:val="00AA7ACA"/>
    <w:rsid w:val="00AA7BFA"/>
    <w:rsid w:val="00AB049C"/>
    <w:rsid w:val="00AB102E"/>
    <w:rsid w:val="00AB143E"/>
    <w:rsid w:val="00AB17EB"/>
    <w:rsid w:val="00AB1CC2"/>
    <w:rsid w:val="00AB1D7B"/>
    <w:rsid w:val="00AB1EA3"/>
    <w:rsid w:val="00AB23E4"/>
    <w:rsid w:val="00AB275B"/>
    <w:rsid w:val="00AB3399"/>
    <w:rsid w:val="00AB3D67"/>
    <w:rsid w:val="00AB3D98"/>
    <w:rsid w:val="00AB4B57"/>
    <w:rsid w:val="00AB5AD6"/>
    <w:rsid w:val="00AB7A96"/>
    <w:rsid w:val="00AC1036"/>
    <w:rsid w:val="00AC1876"/>
    <w:rsid w:val="00AC1E06"/>
    <w:rsid w:val="00AC1FEF"/>
    <w:rsid w:val="00AC4276"/>
    <w:rsid w:val="00AC464D"/>
    <w:rsid w:val="00AC51E8"/>
    <w:rsid w:val="00AC57DE"/>
    <w:rsid w:val="00AC6ACD"/>
    <w:rsid w:val="00AC784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D00"/>
    <w:rsid w:val="00AE1356"/>
    <w:rsid w:val="00AE1632"/>
    <w:rsid w:val="00AE1DFC"/>
    <w:rsid w:val="00AE3652"/>
    <w:rsid w:val="00AE38F2"/>
    <w:rsid w:val="00AE45B1"/>
    <w:rsid w:val="00AE49A7"/>
    <w:rsid w:val="00AE5146"/>
    <w:rsid w:val="00AE52D5"/>
    <w:rsid w:val="00AE55C5"/>
    <w:rsid w:val="00AE5A4F"/>
    <w:rsid w:val="00AE6110"/>
    <w:rsid w:val="00AE7B16"/>
    <w:rsid w:val="00AF0B65"/>
    <w:rsid w:val="00AF0E9D"/>
    <w:rsid w:val="00AF1619"/>
    <w:rsid w:val="00AF1D02"/>
    <w:rsid w:val="00AF2981"/>
    <w:rsid w:val="00AF2D01"/>
    <w:rsid w:val="00AF3590"/>
    <w:rsid w:val="00AF391F"/>
    <w:rsid w:val="00AF507E"/>
    <w:rsid w:val="00AF6B3A"/>
    <w:rsid w:val="00AF6EDF"/>
    <w:rsid w:val="00AF6F39"/>
    <w:rsid w:val="00AF72E9"/>
    <w:rsid w:val="00AF7672"/>
    <w:rsid w:val="00AF7EEF"/>
    <w:rsid w:val="00B002E0"/>
    <w:rsid w:val="00B0053F"/>
    <w:rsid w:val="00B0132A"/>
    <w:rsid w:val="00B017B3"/>
    <w:rsid w:val="00B029C1"/>
    <w:rsid w:val="00B0481B"/>
    <w:rsid w:val="00B0596A"/>
    <w:rsid w:val="00B06B5F"/>
    <w:rsid w:val="00B07968"/>
    <w:rsid w:val="00B07B19"/>
    <w:rsid w:val="00B10FBA"/>
    <w:rsid w:val="00B110E2"/>
    <w:rsid w:val="00B1189C"/>
    <w:rsid w:val="00B12666"/>
    <w:rsid w:val="00B126DA"/>
    <w:rsid w:val="00B1296D"/>
    <w:rsid w:val="00B15903"/>
    <w:rsid w:val="00B166C8"/>
    <w:rsid w:val="00B20064"/>
    <w:rsid w:val="00B20DDC"/>
    <w:rsid w:val="00B21171"/>
    <w:rsid w:val="00B23604"/>
    <w:rsid w:val="00B23F42"/>
    <w:rsid w:val="00B243E6"/>
    <w:rsid w:val="00B24BF2"/>
    <w:rsid w:val="00B24C41"/>
    <w:rsid w:val="00B252A5"/>
    <w:rsid w:val="00B2566A"/>
    <w:rsid w:val="00B2704A"/>
    <w:rsid w:val="00B31C88"/>
    <w:rsid w:val="00B31ED1"/>
    <w:rsid w:val="00B32C18"/>
    <w:rsid w:val="00B35769"/>
    <w:rsid w:val="00B40528"/>
    <w:rsid w:val="00B41694"/>
    <w:rsid w:val="00B425D5"/>
    <w:rsid w:val="00B426BB"/>
    <w:rsid w:val="00B427B9"/>
    <w:rsid w:val="00B42907"/>
    <w:rsid w:val="00B43371"/>
    <w:rsid w:val="00B43661"/>
    <w:rsid w:val="00B43906"/>
    <w:rsid w:val="00B4439F"/>
    <w:rsid w:val="00B44CA2"/>
    <w:rsid w:val="00B45390"/>
    <w:rsid w:val="00B454AE"/>
    <w:rsid w:val="00B45659"/>
    <w:rsid w:val="00B457C3"/>
    <w:rsid w:val="00B460F3"/>
    <w:rsid w:val="00B46985"/>
    <w:rsid w:val="00B4780D"/>
    <w:rsid w:val="00B5008D"/>
    <w:rsid w:val="00B500DC"/>
    <w:rsid w:val="00B50237"/>
    <w:rsid w:val="00B507D5"/>
    <w:rsid w:val="00B50D18"/>
    <w:rsid w:val="00B52464"/>
    <w:rsid w:val="00B52CE2"/>
    <w:rsid w:val="00B52E0E"/>
    <w:rsid w:val="00B53049"/>
    <w:rsid w:val="00B53238"/>
    <w:rsid w:val="00B555E2"/>
    <w:rsid w:val="00B55CF3"/>
    <w:rsid w:val="00B56013"/>
    <w:rsid w:val="00B56491"/>
    <w:rsid w:val="00B60685"/>
    <w:rsid w:val="00B60C22"/>
    <w:rsid w:val="00B615E7"/>
    <w:rsid w:val="00B61C12"/>
    <w:rsid w:val="00B6271A"/>
    <w:rsid w:val="00B6394A"/>
    <w:rsid w:val="00B6403B"/>
    <w:rsid w:val="00B64ABB"/>
    <w:rsid w:val="00B65BF6"/>
    <w:rsid w:val="00B66A64"/>
    <w:rsid w:val="00B66F1C"/>
    <w:rsid w:val="00B670CE"/>
    <w:rsid w:val="00B67B79"/>
    <w:rsid w:val="00B67E74"/>
    <w:rsid w:val="00B70262"/>
    <w:rsid w:val="00B716F8"/>
    <w:rsid w:val="00B7192C"/>
    <w:rsid w:val="00B72319"/>
    <w:rsid w:val="00B72EF4"/>
    <w:rsid w:val="00B738EB"/>
    <w:rsid w:val="00B73A91"/>
    <w:rsid w:val="00B81E97"/>
    <w:rsid w:val="00B82234"/>
    <w:rsid w:val="00B8229B"/>
    <w:rsid w:val="00B8268D"/>
    <w:rsid w:val="00B8283E"/>
    <w:rsid w:val="00B83727"/>
    <w:rsid w:val="00B837AA"/>
    <w:rsid w:val="00B8402A"/>
    <w:rsid w:val="00B84105"/>
    <w:rsid w:val="00B85E06"/>
    <w:rsid w:val="00B87D03"/>
    <w:rsid w:val="00B87F88"/>
    <w:rsid w:val="00B907E0"/>
    <w:rsid w:val="00B909E8"/>
    <w:rsid w:val="00B928EE"/>
    <w:rsid w:val="00B92AD5"/>
    <w:rsid w:val="00B94407"/>
    <w:rsid w:val="00B94BA4"/>
    <w:rsid w:val="00B95787"/>
    <w:rsid w:val="00B96A00"/>
    <w:rsid w:val="00B97DB5"/>
    <w:rsid w:val="00BA103C"/>
    <w:rsid w:val="00BA1A5B"/>
    <w:rsid w:val="00BA1CD8"/>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FB"/>
    <w:rsid w:val="00BB4FEC"/>
    <w:rsid w:val="00BB6103"/>
    <w:rsid w:val="00BB65B1"/>
    <w:rsid w:val="00BB69D5"/>
    <w:rsid w:val="00BC03E1"/>
    <w:rsid w:val="00BC17B7"/>
    <w:rsid w:val="00BC1D7D"/>
    <w:rsid w:val="00BC4593"/>
    <w:rsid w:val="00BC5677"/>
    <w:rsid w:val="00BC610E"/>
    <w:rsid w:val="00BC637D"/>
    <w:rsid w:val="00BC70A0"/>
    <w:rsid w:val="00BC7653"/>
    <w:rsid w:val="00BD05BF"/>
    <w:rsid w:val="00BD2EF8"/>
    <w:rsid w:val="00BD3A30"/>
    <w:rsid w:val="00BD3B45"/>
    <w:rsid w:val="00BD464A"/>
    <w:rsid w:val="00BD51C8"/>
    <w:rsid w:val="00BD5814"/>
    <w:rsid w:val="00BD58EB"/>
    <w:rsid w:val="00BD6CFB"/>
    <w:rsid w:val="00BE000A"/>
    <w:rsid w:val="00BE058C"/>
    <w:rsid w:val="00BE1DE7"/>
    <w:rsid w:val="00BE28BE"/>
    <w:rsid w:val="00BE2902"/>
    <w:rsid w:val="00BE2A1C"/>
    <w:rsid w:val="00BE3213"/>
    <w:rsid w:val="00BE42CB"/>
    <w:rsid w:val="00BE6162"/>
    <w:rsid w:val="00BE6C9C"/>
    <w:rsid w:val="00BE6E9E"/>
    <w:rsid w:val="00BE6FC3"/>
    <w:rsid w:val="00BF0409"/>
    <w:rsid w:val="00BF0497"/>
    <w:rsid w:val="00BF0850"/>
    <w:rsid w:val="00BF08F6"/>
    <w:rsid w:val="00BF092B"/>
    <w:rsid w:val="00BF3613"/>
    <w:rsid w:val="00BF37B7"/>
    <w:rsid w:val="00BF4D3C"/>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1D21"/>
    <w:rsid w:val="00C11EFC"/>
    <w:rsid w:val="00C1230A"/>
    <w:rsid w:val="00C12C53"/>
    <w:rsid w:val="00C130BA"/>
    <w:rsid w:val="00C132A6"/>
    <w:rsid w:val="00C133DF"/>
    <w:rsid w:val="00C1675F"/>
    <w:rsid w:val="00C172FB"/>
    <w:rsid w:val="00C17CE6"/>
    <w:rsid w:val="00C21F2D"/>
    <w:rsid w:val="00C22F16"/>
    <w:rsid w:val="00C231C4"/>
    <w:rsid w:val="00C23439"/>
    <w:rsid w:val="00C2440F"/>
    <w:rsid w:val="00C25949"/>
    <w:rsid w:val="00C2627E"/>
    <w:rsid w:val="00C26723"/>
    <w:rsid w:val="00C27213"/>
    <w:rsid w:val="00C278C2"/>
    <w:rsid w:val="00C27C05"/>
    <w:rsid w:val="00C316E6"/>
    <w:rsid w:val="00C32425"/>
    <w:rsid w:val="00C327FF"/>
    <w:rsid w:val="00C32828"/>
    <w:rsid w:val="00C33DEA"/>
    <w:rsid w:val="00C340C6"/>
    <w:rsid w:val="00C343FB"/>
    <w:rsid w:val="00C353D0"/>
    <w:rsid w:val="00C354D8"/>
    <w:rsid w:val="00C35AE1"/>
    <w:rsid w:val="00C363FA"/>
    <w:rsid w:val="00C375A3"/>
    <w:rsid w:val="00C3797F"/>
    <w:rsid w:val="00C40268"/>
    <w:rsid w:val="00C41E55"/>
    <w:rsid w:val="00C43809"/>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6DB9"/>
    <w:rsid w:val="00C5767A"/>
    <w:rsid w:val="00C60064"/>
    <w:rsid w:val="00C60491"/>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8086B"/>
    <w:rsid w:val="00C80C0C"/>
    <w:rsid w:val="00C8116B"/>
    <w:rsid w:val="00C82D97"/>
    <w:rsid w:val="00C83318"/>
    <w:rsid w:val="00C83414"/>
    <w:rsid w:val="00C8451C"/>
    <w:rsid w:val="00C84D14"/>
    <w:rsid w:val="00C852DA"/>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CF"/>
    <w:rsid w:val="00CA6256"/>
    <w:rsid w:val="00CA7998"/>
    <w:rsid w:val="00CB0240"/>
    <w:rsid w:val="00CB0A84"/>
    <w:rsid w:val="00CB1749"/>
    <w:rsid w:val="00CB1C27"/>
    <w:rsid w:val="00CB2178"/>
    <w:rsid w:val="00CB261F"/>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7B53"/>
    <w:rsid w:val="00CD1B00"/>
    <w:rsid w:val="00CD229F"/>
    <w:rsid w:val="00CD38E2"/>
    <w:rsid w:val="00CD390F"/>
    <w:rsid w:val="00CD45D0"/>
    <w:rsid w:val="00CD482F"/>
    <w:rsid w:val="00CD4949"/>
    <w:rsid w:val="00CD4B35"/>
    <w:rsid w:val="00CD52D1"/>
    <w:rsid w:val="00CD5A36"/>
    <w:rsid w:val="00CD7E62"/>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B19"/>
    <w:rsid w:val="00CF0C0B"/>
    <w:rsid w:val="00CF1640"/>
    <w:rsid w:val="00CF18A3"/>
    <w:rsid w:val="00CF22E6"/>
    <w:rsid w:val="00CF2BE9"/>
    <w:rsid w:val="00CF356A"/>
    <w:rsid w:val="00CF411E"/>
    <w:rsid w:val="00CF4A61"/>
    <w:rsid w:val="00D029CB"/>
    <w:rsid w:val="00D04274"/>
    <w:rsid w:val="00D04C33"/>
    <w:rsid w:val="00D05A8B"/>
    <w:rsid w:val="00D06659"/>
    <w:rsid w:val="00D0699D"/>
    <w:rsid w:val="00D06F15"/>
    <w:rsid w:val="00D076EF"/>
    <w:rsid w:val="00D10935"/>
    <w:rsid w:val="00D11A95"/>
    <w:rsid w:val="00D1313F"/>
    <w:rsid w:val="00D1362E"/>
    <w:rsid w:val="00D1447E"/>
    <w:rsid w:val="00D144E7"/>
    <w:rsid w:val="00D164B7"/>
    <w:rsid w:val="00D16D47"/>
    <w:rsid w:val="00D1747A"/>
    <w:rsid w:val="00D179A5"/>
    <w:rsid w:val="00D205D0"/>
    <w:rsid w:val="00D20B7D"/>
    <w:rsid w:val="00D20D1C"/>
    <w:rsid w:val="00D21306"/>
    <w:rsid w:val="00D2151A"/>
    <w:rsid w:val="00D22151"/>
    <w:rsid w:val="00D22952"/>
    <w:rsid w:val="00D22A2E"/>
    <w:rsid w:val="00D240AB"/>
    <w:rsid w:val="00D24383"/>
    <w:rsid w:val="00D2535F"/>
    <w:rsid w:val="00D25C46"/>
    <w:rsid w:val="00D25CA2"/>
    <w:rsid w:val="00D26BCB"/>
    <w:rsid w:val="00D26CC6"/>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3F75"/>
    <w:rsid w:val="00D45E14"/>
    <w:rsid w:val="00D4755C"/>
    <w:rsid w:val="00D50B0D"/>
    <w:rsid w:val="00D5146F"/>
    <w:rsid w:val="00D52230"/>
    <w:rsid w:val="00D52834"/>
    <w:rsid w:val="00D5299E"/>
    <w:rsid w:val="00D52E19"/>
    <w:rsid w:val="00D53782"/>
    <w:rsid w:val="00D544FE"/>
    <w:rsid w:val="00D5454C"/>
    <w:rsid w:val="00D547E2"/>
    <w:rsid w:val="00D5596F"/>
    <w:rsid w:val="00D56F3F"/>
    <w:rsid w:val="00D610EE"/>
    <w:rsid w:val="00D61E2F"/>
    <w:rsid w:val="00D61F13"/>
    <w:rsid w:val="00D62A2D"/>
    <w:rsid w:val="00D62A92"/>
    <w:rsid w:val="00D66376"/>
    <w:rsid w:val="00D667F7"/>
    <w:rsid w:val="00D672D6"/>
    <w:rsid w:val="00D679CF"/>
    <w:rsid w:val="00D67D4A"/>
    <w:rsid w:val="00D67DDD"/>
    <w:rsid w:val="00D708DB"/>
    <w:rsid w:val="00D70B9D"/>
    <w:rsid w:val="00D72B46"/>
    <w:rsid w:val="00D72DC4"/>
    <w:rsid w:val="00D73122"/>
    <w:rsid w:val="00D738CF"/>
    <w:rsid w:val="00D74299"/>
    <w:rsid w:val="00D74FFF"/>
    <w:rsid w:val="00D75434"/>
    <w:rsid w:val="00D755B2"/>
    <w:rsid w:val="00D75D2E"/>
    <w:rsid w:val="00D761D4"/>
    <w:rsid w:val="00D76CD3"/>
    <w:rsid w:val="00D76F62"/>
    <w:rsid w:val="00D779B6"/>
    <w:rsid w:val="00D806A3"/>
    <w:rsid w:val="00D80BD1"/>
    <w:rsid w:val="00D81BAC"/>
    <w:rsid w:val="00D82710"/>
    <w:rsid w:val="00D83149"/>
    <w:rsid w:val="00D83173"/>
    <w:rsid w:val="00D8380A"/>
    <w:rsid w:val="00D84ABB"/>
    <w:rsid w:val="00D85273"/>
    <w:rsid w:val="00D86C29"/>
    <w:rsid w:val="00D90493"/>
    <w:rsid w:val="00D90CC5"/>
    <w:rsid w:val="00D90E6F"/>
    <w:rsid w:val="00D91918"/>
    <w:rsid w:val="00D9284C"/>
    <w:rsid w:val="00D92C6A"/>
    <w:rsid w:val="00D92E0C"/>
    <w:rsid w:val="00D92E48"/>
    <w:rsid w:val="00D932DF"/>
    <w:rsid w:val="00D94442"/>
    <w:rsid w:val="00D94C35"/>
    <w:rsid w:val="00D95330"/>
    <w:rsid w:val="00DA02FB"/>
    <w:rsid w:val="00DA0502"/>
    <w:rsid w:val="00DA12AB"/>
    <w:rsid w:val="00DA14B6"/>
    <w:rsid w:val="00DA172D"/>
    <w:rsid w:val="00DA238B"/>
    <w:rsid w:val="00DA53CE"/>
    <w:rsid w:val="00DA5D23"/>
    <w:rsid w:val="00DA6954"/>
    <w:rsid w:val="00DA6CCE"/>
    <w:rsid w:val="00DA7973"/>
    <w:rsid w:val="00DB05F1"/>
    <w:rsid w:val="00DB0FCE"/>
    <w:rsid w:val="00DB179E"/>
    <w:rsid w:val="00DB2074"/>
    <w:rsid w:val="00DB3689"/>
    <w:rsid w:val="00DB3767"/>
    <w:rsid w:val="00DB39E0"/>
    <w:rsid w:val="00DB3DC3"/>
    <w:rsid w:val="00DB4C32"/>
    <w:rsid w:val="00DB4F70"/>
    <w:rsid w:val="00DB5AE0"/>
    <w:rsid w:val="00DB677F"/>
    <w:rsid w:val="00DB7729"/>
    <w:rsid w:val="00DC0C66"/>
    <w:rsid w:val="00DC2146"/>
    <w:rsid w:val="00DC22BE"/>
    <w:rsid w:val="00DC51AD"/>
    <w:rsid w:val="00DC5948"/>
    <w:rsid w:val="00DC5F62"/>
    <w:rsid w:val="00DC68A9"/>
    <w:rsid w:val="00DC7FAF"/>
    <w:rsid w:val="00DD02BA"/>
    <w:rsid w:val="00DD100B"/>
    <w:rsid w:val="00DD161E"/>
    <w:rsid w:val="00DD24E6"/>
    <w:rsid w:val="00DD42F9"/>
    <w:rsid w:val="00DD5C30"/>
    <w:rsid w:val="00DD6576"/>
    <w:rsid w:val="00DD6FD8"/>
    <w:rsid w:val="00DE05A6"/>
    <w:rsid w:val="00DE15AA"/>
    <w:rsid w:val="00DE1B4A"/>
    <w:rsid w:val="00DE2CFF"/>
    <w:rsid w:val="00DE2F19"/>
    <w:rsid w:val="00DE3330"/>
    <w:rsid w:val="00DE38A4"/>
    <w:rsid w:val="00DE3AB1"/>
    <w:rsid w:val="00DE50FA"/>
    <w:rsid w:val="00DE5939"/>
    <w:rsid w:val="00DE6148"/>
    <w:rsid w:val="00DE6170"/>
    <w:rsid w:val="00DE6A3B"/>
    <w:rsid w:val="00DE7478"/>
    <w:rsid w:val="00DF1FCE"/>
    <w:rsid w:val="00DF2709"/>
    <w:rsid w:val="00DF2CBF"/>
    <w:rsid w:val="00DF3BA1"/>
    <w:rsid w:val="00DF3CCE"/>
    <w:rsid w:val="00DF3FDD"/>
    <w:rsid w:val="00DF4CBC"/>
    <w:rsid w:val="00DF5370"/>
    <w:rsid w:val="00DF597F"/>
    <w:rsid w:val="00DF5E74"/>
    <w:rsid w:val="00DF6452"/>
    <w:rsid w:val="00DF6682"/>
    <w:rsid w:val="00DF6CC6"/>
    <w:rsid w:val="00DF7DED"/>
    <w:rsid w:val="00E0032E"/>
    <w:rsid w:val="00E0074D"/>
    <w:rsid w:val="00E007CD"/>
    <w:rsid w:val="00E0205D"/>
    <w:rsid w:val="00E03B13"/>
    <w:rsid w:val="00E03BE1"/>
    <w:rsid w:val="00E04060"/>
    <w:rsid w:val="00E0458A"/>
    <w:rsid w:val="00E048C6"/>
    <w:rsid w:val="00E06B20"/>
    <w:rsid w:val="00E0737F"/>
    <w:rsid w:val="00E1018A"/>
    <w:rsid w:val="00E10C7D"/>
    <w:rsid w:val="00E1155D"/>
    <w:rsid w:val="00E120F4"/>
    <w:rsid w:val="00E121B5"/>
    <w:rsid w:val="00E1226F"/>
    <w:rsid w:val="00E125F6"/>
    <w:rsid w:val="00E127C3"/>
    <w:rsid w:val="00E14C1A"/>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389C"/>
    <w:rsid w:val="00E24866"/>
    <w:rsid w:val="00E27B10"/>
    <w:rsid w:val="00E27FC2"/>
    <w:rsid w:val="00E30732"/>
    <w:rsid w:val="00E31912"/>
    <w:rsid w:val="00E319A5"/>
    <w:rsid w:val="00E31B60"/>
    <w:rsid w:val="00E31D33"/>
    <w:rsid w:val="00E31DBC"/>
    <w:rsid w:val="00E3211D"/>
    <w:rsid w:val="00E32310"/>
    <w:rsid w:val="00E330E4"/>
    <w:rsid w:val="00E340A7"/>
    <w:rsid w:val="00E344FD"/>
    <w:rsid w:val="00E34D88"/>
    <w:rsid w:val="00E353DB"/>
    <w:rsid w:val="00E36375"/>
    <w:rsid w:val="00E4013C"/>
    <w:rsid w:val="00E40D48"/>
    <w:rsid w:val="00E40DBF"/>
    <w:rsid w:val="00E42A45"/>
    <w:rsid w:val="00E42C98"/>
    <w:rsid w:val="00E43798"/>
    <w:rsid w:val="00E43842"/>
    <w:rsid w:val="00E4599A"/>
    <w:rsid w:val="00E465D2"/>
    <w:rsid w:val="00E468CA"/>
    <w:rsid w:val="00E473B4"/>
    <w:rsid w:val="00E47CAE"/>
    <w:rsid w:val="00E47D3F"/>
    <w:rsid w:val="00E47FCE"/>
    <w:rsid w:val="00E521EE"/>
    <w:rsid w:val="00E526AB"/>
    <w:rsid w:val="00E55F53"/>
    <w:rsid w:val="00E56491"/>
    <w:rsid w:val="00E5756F"/>
    <w:rsid w:val="00E601F7"/>
    <w:rsid w:val="00E60595"/>
    <w:rsid w:val="00E61B28"/>
    <w:rsid w:val="00E62B3D"/>
    <w:rsid w:val="00E6315A"/>
    <w:rsid w:val="00E63986"/>
    <w:rsid w:val="00E64158"/>
    <w:rsid w:val="00E64A32"/>
    <w:rsid w:val="00E65554"/>
    <w:rsid w:val="00E65E86"/>
    <w:rsid w:val="00E669B5"/>
    <w:rsid w:val="00E66C3B"/>
    <w:rsid w:val="00E67D08"/>
    <w:rsid w:val="00E70FD6"/>
    <w:rsid w:val="00E71B00"/>
    <w:rsid w:val="00E72321"/>
    <w:rsid w:val="00E73677"/>
    <w:rsid w:val="00E73C7F"/>
    <w:rsid w:val="00E740D9"/>
    <w:rsid w:val="00E75114"/>
    <w:rsid w:val="00E77A9F"/>
    <w:rsid w:val="00E803E3"/>
    <w:rsid w:val="00E81712"/>
    <w:rsid w:val="00E81B74"/>
    <w:rsid w:val="00E8224F"/>
    <w:rsid w:val="00E832E5"/>
    <w:rsid w:val="00E847FA"/>
    <w:rsid w:val="00E853FB"/>
    <w:rsid w:val="00E85E3C"/>
    <w:rsid w:val="00E87079"/>
    <w:rsid w:val="00E90D4E"/>
    <w:rsid w:val="00E9113F"/>
    <w:rsid w:val="00E92404"/>
    <w:rsid w:val="00E943EE"/>
    <w:rsid w:val="00E94917"/>
    <w:rsid w:val="00E95F92"/>
    <w:rsid w:val="00E96803"/>
    <w:rsid w:val="00E97B7B"/>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720"/>
    <w:rsid w:val="00EA7F21"/>
    <w:rsid w:val="00EB1559"/>
    <w:rsid w:val="00EB1663"/>
    <w:rsid w:val="00EB4324"/>
    <w:rsid w:val="00EB4808"/>
    <w:rsid w:val="00EB4DD2"/>
    <w:rsid w:val="00EB6B1E"/>
    <w:rsid w:val="00EB6B41"/>
    <w:rsid w:val="00EB7739"/>
    <w:rsid w:val="00EB7DFF"/>
    <w:rsid w:val="00EC06D5"/>
    <w:rsid w:val="00EC1D1E"/>
    <w:rsid w:val="00EC201F"/>
    <w:rsid w:val="00EC40E3"/>
    <w:rsid w:val="00EC465B"/>
    <w:rsid w:val="00EC46C5"/>
    <w:rsid w:val="00EC516D"/>
    <w:rsid w:val="00EC5A04"/>
    <w:rsid w:val="00EC7A43"/>
    <w:rsid w:val="00EC7D8F"/>
    <w:rsid w:val="00EC7E1A"/>
    <w:rsid w:val="00ED01C4"/>
    <w:rsid w:val="00ED09F7"/>
    <w:rsid w:val="00ED0F55"/>
    <w:rsid w:val="00ED19D2"/>
    <w:rsid w:val="00ED5032"/>
    <w:rsid w:val="00ED5270"/>
    <w:rsid w:val="00ED6DC0"/>
    <w:rsid w:val="00ED7856"/>
    <w:rsid w:val="00ED792B"/>
    <w:rsid w:val="00ED7DC2"/>
    <w:rsid w:val="00EE17DF"/>
    <w:rsid w:val="00EE2374"/>
    <w:rsid w:val="00EE375E"/>
    <w:rsid w:val="00EE41C1"/>
    <w:rsid w:val="00EE4247"/>
    <w:rsid w:val="00EE5769"/>
    <w:rsid w:val="00EE5CA6"/>
    <w:rsid w:val="00EE6916"/>
    <w:rsid w:val="00EF0067"/>
    <w:rsid w:val="00EF0451"/>
    <w:rsid w:val="00EF1335"/>
    <w:rsid w:val="00EF1557"/>
    <w:rsid w:val="00EF4AE0"/>
    <w:rsid w:val="00EF4FE8"/>
    <w:rsid w:val="00EF62C3"/>
    <w:rsid w:val="00EF6AB2"/>
    <w:rsid w:val="00EF6B48"/>
    <w:rsid w:val="00EF6BBA"/>
    <w:rsid w:val="00EF6FA1"/>
    <w:rsid w:val="00F0040F"/>
    <w:rsid w:val="00F012FF"/>
    <w:rsid w:val="00F01A21"/>
    <w:rsid w:val="00F02287"/>
    <w:rsid w:val="00F02693"/>
    <w:rsid w:val="00F046E9"/>
    <w:rsid w:val="00F04831"/>
    <w:rsid w:val="00F052E7"/>
    <w:rsid w:val="00F069E7"/>
    <w:rsid w:val="00F0722B"/>
    <w:rsid w:val="00F12DA8"/>
    <w:rsid w:val="00F12E0E"/>
    <w:rsid w:val="00F1322B"/>
    <w:rsid w:val="00F13699"/>
    <w:rsid w:val="00F14CC4"/>
    <w:rsid w:val="00F150F9"/>
    <w:rsid w:val="00F163B0"/>
    <w:rsid w:val="00F16AB3"/>
    <w:rsid w:val="00F16F73"/>
    <w:rsid w:val="00F22399"/>
    <w:rsid w:val="00F22504"/>
    <w:rsid w:val="00F22EF1"/>
    <w:rsid w:val="00F23665"/>
    <w:rsid w:val="00F23D88"/>
    <w:rsid w:val="00F241E7"/>
    <w:rsid w:val="00F24C90"/>
    <w:rsid w:val="00F25BEF"/>
    <w:rsid w:val="00F26D0A"/>
    <w:rsid w:val="00F270BA"/>
    <w:rsid w:val="00F308AF"/>
    <w:rsid w:val="00F30B69"/>
    <w:rsid w:val="00F32033"/>
    <w:rsid w:val="00F32911"/>
    <w:rsid w:val="00F337F8"/>
    <w:rsid w:val="00F33A6B"/>
    <w:rsid w:val="00F33B26"/>
    <w:rsid w:val="00F3464D"/>
    <w:rsid w:val="00F34704"/>
    <w:rsid w:val="00F34AA7"/>
    <w:rsid w:val="00F352C8"/>
    <w:rsid w:val="00F353BB"/>
    <w:rsid w:val="00F36698"/>
    <w:rsid w:val="00F36774"/>
    <w:rsid w:val="00F405D4"/>
    <w:rsid w:val="00F4072E"/>
    <w:rsid w:val="00F40AA9"/>
    <w:rsid w:val="00F40C50"/>
    <w:rsid w:val="00F4100B"/>
    <w:rsid w:val="00F418B3"/>
    <w:rsid w:val="00F429C0"/>
    <w:rsid w:val="00F42C7B"/>
    <w:rsid w:val="00F42E7A"/>
    <w:rsid w:val="00F42F39"/>
    <w:rsid w:val="00F4307A"/>
    <w:rsid w:val="00F430D1"/>
    <w:rsid w:val="00F43D26"/>
    <w:rsid w:val="00F449CB"/>
    <w:rsid w:val="00F45D80"/>
    <w:rsid w:val="00F46B8B"/>
    <w:rsid w:val="00F47660"/>
    <w:rsid w:val="00F507DB"/>
    <w:rsid w:val="00F508EB"/>
    <w:rsid w:val="00F50D76"/>
    <w:rsid w:val="00F51B95"/>
    <w:rsid w:val="00F5236F"/>
    <w:rsid w:val="00F52C7A"/>
    <w:rsid w:val="00F544AB"/>
    <w:rsid w:val="00F55435"/>
    <w:rsid w:val="00F5545B"/>
    <w:rsid w:val="00F55EB0"/>
    <w:rsid w:val="00F5653F"/>
    <w:rsid w:val="00F56A1B"/>
    <w:rsid w:val="00F6079F"/>
    <w:rsid w:val="00F61D7E"/>
    <w:rsid w:val="00F63267"/>
    <w:rsid w:val="00F639D3"/>
    <w:rsid w:val="00F64EA5"/>
    <w:rsid w:val="00F652E9"/>
    <w:rsid w:val="00F662DF"/>
    <w:rsid w:val="00F6658E"/>
    <w:rsid w:val="00F66A3D"/>
    <w:rsid w:val="00F66DF3"/>
    <w:rsid w:val="00F67115"/>
    <w:rsid w:val="00F67AB2"/>
    <w:rsid w:val="00F7357E"/>
    <w:rsid w:val="00F73666"/>
    <w:rsid w:val="00F73D21"/>
    <w:rsid w:val="00F74DF5"/>
    <w:rsid w:val="00F74ED0"/>
    <w:rsid w:val="00F759D4"/>
    <w:rsid w:val="00F75B44"/>
    <w:rsid w:val="00F76E39"/>
    <w:rsid w:val="00F81DB2"/>
    <w:rsid w:val="00F832DB"/>
    <w:rsid w:val="00F83593"/>
    <w:rsid w:val="00F837F7"/>
    <w:rsid w:val="00F83956"/>
    <w:rsid w:val="00F854ED"/>
    <w:rsid w:val="00F85A00"/>
    <w:rsid w:val="00F86B0D"/>
    <w:rsid w:val="00F87657"/>
    <w:rsid w:val="00F8794A"/>
    <w:rsid w:val="00F9072D"/>
    <w:rsid w:val="00F90E30"/>
    <w:rsid w:val="00F9143A"/>
    <w:rsid w:val="00F917E4"/>
    <w:rsid w:val="00F91B00"/>
    <w:rsid w:val="00F92751"/>
    <w:rsid w:val="00F93901"/>
    <w:rsid w:val="00F9424D"/>
    <w:rsid w:val="00F94D4A"/>
    <w:rsid w:val="00F94D96"/>
    <w:rsid w:val="00F94DFC"/>
    <w:rsid w:val="00F95427"/>
    <w:rsid w:val="00F95AE0"/>
    <w:rsid w:val="00F96BAD"/>
    <w:rsid w:val="00F96C66"/>
    <w:rsid w:val="00F971E1"/>
    <w:rsid w:val="00F97D27"/>
    <w:rsid w:val="00FA20BF"/>
    <w:rsid w:val="00FA2F06"/>
    <w:rsid w:val="00FA34B5"/>
    <w:rsid w:val="00FA4FB5"/>
    <w:rsid w:val="00FA532D"/>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D8B"/>
    <w:rsid w:val="00FB4F37"/>
    <w:rsid w:val="00FB6778"/>
    <w:rsid w:val="00FB79F1"/>
    <w:rsid w:val="00FB7E5A"/>
    <w:rsid w:val="00FC2275"/>
    <w:rsid w:val="00FC268D"/>
    <w:rsid w:val="00FC316F"/>
    <w:rsid w:val="00FC3220"/>
    <w:rsid w:val="00FC38FF"/>
    <w:rsid w:val="00FC48F5"/>
    <w:rsid w:val="00FC54B3"/>
    <w:rsid w:val="00FC61C3"/>
    <w:rsid w:val="00FC6500"/>
    <w:rsid w:val="00FC6E54"/>
    <w:rsid w:val="00FC7104"/>
    <w:rsid w:val="00FD0CDD"/>
    <w:rsid w:val="00FD1379"/>
    <w:rsid w:val="00FD19FC"/>
    <w:rsid w:val="00FD2E46"/>
    <w:rsid w:val="00FD30C2"/>
    <w:rsid w:val="00FD33A2"/>
    <w:rsid w:val="00FD3953"/>
    <w:rsid w:val="00FD3E69"/>
    <w:rsid w:val="00FD5CC1"/>
    <w:rsid w:val="00FD6206"/>
    <w:rsid w:val="00FD67A9"/>
    <w:rsid w:val="00FD7816"/>
    <w:rsid w:val="00FE09E7"/>
    <w:rsid w:val="00FE0AB3"/>
    <w:rsid w:val="00FE2161"/>
    <w:rsid w:val="00FE23FB"/>
    <w:rsid w:val="00FE33D4"/>
    <w:rsid w:val="00FE3DAE"/>
    <w:rsid w:val="00FE42E1"/>
    <w:rsid w:val="00FE58B6"/>
    <w:rsid w:val="00FE724B"/>
    <w:rsid w:val="00FE7430"/>
    <w:rsid w:val="00FF0471"/>
    <w:rsid w:val="00FF0771"/>
    <w:rsid w:val="00FF0AAD"/>
    <w:rsid w:val="00FF2747"/>
    <w:rsid w:val="00FF29CE"/>
    <w:rsid w:val="00FF2E7C"/>
    <w:rsid w:val="00FF33F4"/>
    <w:rsid w:val="00FF34A8"/>
    <w:rsid w:val="00FF350D"/>
    <w:rsid w:val="00FF398E"/>
    <w:rsid w:val="00FF3FC8"/>
    <w:rsid w:val="00FF40CA"/>
    <w:rsid w:val="00FF7857"/>
    <w:rsid w:val="010B76E5"/>
    <w:rsid w:val="01100128"/>
    <w:rsid w:val="01136FD2"/>
    <w:rsid w:val="01163216"/>
    <w:rsid w:val="011A3AD5"/>
    <w:rsid w:val="01243CBE"/>
    <w:rsid w:val="01271A0E"/>
    <w:rsid w:val="01316156"/>
    <w:rsid w:val="01392B1D"/>
    <w:rsid w:val="01427510"/>
    <w:rsid w:val="014D5FC8"/>
    <w:rsid w:val="015C7570"/>
    <w:rsid w:val="016731E8"/>
    <w:rsid w:val="01724323"/>
    <w:rsid w:val="017B1B16"/>
    <w:rsid w:val="017E5995"/>
    <w:rsid w:val="019D4B3D"/>
    <w:rsid w:val="019F0207"/>
    <w:rsid w:val="01A02944"/>
    <w:rsid w:val="01A7517B"/>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27E9D"/>
    <w:rsid w:val="0213188C"/>
    <w:rsid w:val="02345B88"/>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D7BE5"/>
    <w:rsid w:val="033F5DF4"/>
    <w:rsid w:val="034058DA"/>
    <w:rsid w:val="034F6376"/>
    <w:rsid w:val="038B3400"/>
    <w:rsid w:val="0392525D"/>
    <w:rsid w:val="039F12E8"/>
    <w:rsid w:val="03A13769"/>
    <w:rsid w:val="03A20738"/>
    <w:rsid w:val="03A90B72"/>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26379"/>
    <w:rsid w:val="04F512AE"/>
    <w:rsid w:val="04F5365E"/>
    <w:rsid w:val="04F95D3A"/>
    <w:rsid w:val="05044386"/>
    <w:rsid w:val="05172D2E"/>
    <w:rsid w:val="052630A3"/>
    <w:rsid w:val="053236B8"/>
    <w:rsid w:val="0536681D"/>
    <w:rsid w:val="053F2A36"/>
    <w:rsid w:val="054C7D1C"/>
    <w:rsid w:val="05837B30"/>
    <w:rsid w:val="05910818"/>
    <w:rsid w:val="05A022CF"/>
    <w:rsid w:val="05A03ADB"/>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AF2340"/>
    <w:rsid w:val="07CE2E21"/>
    <w:rsid w:val="07D029D5"/>
    <w:rsid w:val="07D37F63"/>
    <w:rsid w:val="07D47A5C"/>
    <w:rsid w:val="07D74616"/>
    <w:rsid w:val="07D74975"/>
    <w:rsid w:val="07DE52F0"/>
    <w:rsid w:val="07E24246"/>
    <w:rsid w:val="07E53D87"/>
    <w:rsid w:val="07EF7EE5"/>
    <w:rsid w:val="08141163"/>
    <w:rsid w:val="08242518"/>
    <w:rsid w:val="082546CA"/>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20E18"/>
    <w:rsid w:val="08C85AD5"/>
    <w:rsid w:val="08D82186"/>
    <w:rsid w:val="08E53934"/>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462A8"/>
    <w:rsid w:val="0A8673AB"/>
    <w:rsid w:val="0A8E25F8"/>
    <w:rsid w:val="0A9403C0"/>
    <w:rsid w:val="0A9541D2"/>
    <w:rsid w:val="0AA77F22"/>
    <w:rsid w:val="0AAE3FA8"/>
    <w:rsid w:val="0AB34BED"/>
    <w:rsid w:val="0AD647A5"/>
    <w:rsid w:val="0AE50F21"/>
    <w:rsid w:val="0AEF7D55"/>
    <w:rsid w:val="0AF842F2"/>
    <w:rsid w:val="0B09024B"/>
    <w:rsid w:val="0B123018"/>
    <w:rsid w:val="0B132984"/>
    <w:rsid w:val="0B1B1515"/>
    <w:rsid w:val="0B231145"/>
    <w:rsid w:val="0B24396B"/>
    <w:rsid w:val="0B265E4E"/>
    <w:rsid w:val="0B292ADD"/>
    <w:rsid w:val="0B315BB8"/>
    <w:rsid w:val="0B3760B4"/>
    <w:rsid w:val="0B3C0C94"/>
    <w:rsid w:val="0B49387C"/>
    <w:rsid w:val="0B517A43"/>
    <w:rsid w:val="0B560B94"/>
    <w:rsid w:val="0B5B432B"/>
    <w:rsid w:val="0B5C3C5F"/>
    <w:rsid w:val="0B6058A7"/>
    <w:rsid w:val="0B704389"/>
    <w:rsid w:val="0B757FBB"/>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A2C78"/>
    <w:rsid w:val="0D6B60E0"/>
    <w:rsid w:val="0D791AD7"/>
    <w:rsid w:val="0D7A3592"/>
    <w:rsid w:val="0D854A00"/>
    <w:rsid w:val="0D94360A"/>
    <w:rsid w:val="0DA74C71"/>
    <w:rsid w:val="0DB63E92"/>
    <w:rsid w:val="0DBF2FB8"/>
    <w:rsid w:val="0DC0393B"/>
    <w:rsid w:val="0DC43254"/>
    <w:rsid w:val="0DC4433C"/>
    <w:rsid w:val="0DCD2C1C"/>
    <w:rsid w:val="0DE51E47"/>
    <w:rsid w:val="0DE67218"/>
    <w:rsid w:val="0E092132"/>
    <w:rsid w:val="0E0A21A9"/>
    <w:rsid w:val="0E113293"/>
    <w:rsid w:val="0E134E83"/>
    <w:rsid w:val="0E17220C"/>
    <w:rsid w:val="0E221D90"/>
    <w:rsid w:val="0E26107A"/>
    <w:rsid w:val="0E2C61C1"/>
    <w:rsid w:val="0E300A7A"/>
    <w:rsid w:val="0E4D3A08"/>
    <w:rsid w:val="0E4F3F26"/>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2C59E9"/>
    <w:rsid w:val="0F4143CE"/>
    <w:rsid w:val="0F4340EF"/>
    <w:rsid w:val="0F570EB4"/>
    <w:rsid w:val="0F5908C8"/>
    <w:rsid w:val="0F59104A"/>
    <w:rsid w:val="0F5F1287"/>
    <w:rsid w:val="0F685729"/>
    <w:rsid w:val="0F6A6BC7"/>
    <w:rsid w:val="0F70152C"/>
    <w:rsid w:val="0F771FDC"/>
    <w:rsid w:val="0F787C58"/>
    <w:rsid w:val="0F7D569B"/>
    <w:rsid w:val="0F8228D1"/>
    <w:rsid w:val="0F8C02E9"/>
    <w:rsid w:val="0F8F7413"/>
    <w:rsid w:val="0F942145"/>
    <w:rsid w:val="0FB27D04"/>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321B7"/>
    <w:rsid w:val="102C5093"/>
    <w:rsid w:val="102F5257"/>
    <w:rsid w:val="103E22B2"/>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E79E8"/>
    <w:rsid w:val="10D371D9"/>
    <w:rsid w:val="10DE5F6D"/>
    <w:rsid w:val="10E75ECD"/>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F6A2B"/>
    <w:rsid w:val="129402A3"/>
    <w:rsid w:val="1297086D"/>
    <w:rsid w:val="129B27C3"/>
    <w:rsid w:val="12A76780"/>
    <w:rsid w:val="12CB77F1"/>
    <w:rsid w:val="12DD13AC"/>
    <w:rsid w:val="12DF5184"/>
    <w:rsid w:val="12EB1F09"/>
    <w:rsid w:val="12F2663F"/>
    <w:rsid w:val="12F41B54"/>
    <w:rsid w:val="12FE0F0C"/>
    <w:rsid w:val="13007470"/>
    <w:rsid w:val="13060FB9"/>
    <w:rsid w:val="1327402D"/>
    <w:rsid w:val="132D4456"/>
    <w:rsid w:val="134030C7"/>
    <w:rsid w:val="135106FE"/>
    <w:rsid w:val="1357550B"/>
    <w:rsid w:val="13616BDE"/>
    <w:rsid w:val="136B7240"/>
    <w:rsid w:val="136F32A6"/>
    <w:rsid w:val="137D3949"/>
    <w:rsid w:val="1384435A"/>
    <w:rsid w:val="138C4655"/>
    <w:rsid w:val="1392132C"/>
    <w:rsid w:val="13933000"/>
    <w:rsid w:val="13946719"/>
    <w:rsid w:val="139C112D"/>
    <w:rsid w:val="13A6000E"/>
    <w:rsid w:val="13AD4C79"/>
    <w:rsid w:val="13AE6E32"/>
    <w:rsid w:val="13B61C41"/>
    <w:rsid w:val="13BC4EE6"/>
    <w:rsid w:val="13BF6B7B"/>
    <w:rsid w:val="13C52542"/>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306F6"/>
    <w:rsid w:val="14E61747"/>
    <w:rsid w:val="14E73F02"/>
    <w:rsid w:val="1502097B"/>
    <w:rsid w:val="15337D09"/>
    <w:rsid w:val="153C211B"/>
    <w:rsid w:val="153C7063"/>
    <w:rsid w:val="1548114E"/>
    <w:rsid w:val="15513899"/>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5EE3890"/>
    <w:rsid w:val="160A0813"/>
    <w:rsid w:val="16263368"/>
    <w:rsid w:val="163103EC"/>
    <w:rsid w:val="163E496F"/>
    <w:rsid w:val="16401FC7"/>
    <w:rsid w:val="166260E3"/>
    <w:rsid w:val="166D5D9B"/>
    <w:rsid w:val="16710ACC"/>
    <w:rsid w:val="16794AA8"/>
    <w:rsid w:val="167E12C8"/>
    <w:rsid w:val="1680192E"/>
    <w:rsid w:val="16831695"/>
    <w:rsid w:val="168521B8"/>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8B5FD7"/>
    <w:rsid w:val="178E5D23"/>
    <w:rsid w:val="1793303A"/>
    <w:rsid w:val="179C79A4"/>
    <w:rsid w:val="17B070BF"/>
    <w:rsid w:val="17D52F7B"/>
    <w:rsid w:val="17E56EB0"/>
    <w:rsid w:val="17EA0E81"/>
    <w:rsid w:val="17EB75B0"/>
    <w:rsid w:val="17EF3376"/>
    <w:rsid w:val="17F5084F"/>
    <w:rsid w:val="180B1BB2"/>
    <w:rsid w:val="18116B35"/>
    <w:rsid w:val="181578CA"/>
    <w:rsid w:val="183653D1"/>
    <w:rsid w:val="18425D8C"/>
    <w:rsid w:val="18440068"/>
    <w:rsid w:val="18502972"/>
    <w:rsid w:val="185159AA"/>
    <w:rsid w:val="18697E60"/>
    <w:rsid w:val="1873107B"/>
    <w:rsid w:val="1875497B"/>
    <w:rsid w:val="187C2675"/>
    <w:rsid w:val="188C3829"/>
    <w:rsid w:val="18A5771F"/>
    <w:rsid w:val="18AF74E1"/>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9ED3E54"/>
    <w:rsid w:val="19F27886"/>
    <w:rsid w:val="19FF1D32"/>
    <w:rsid w:val="1A002A36"/>
    <w:rsid w:val="1A0F409F"/>
    <w:rsid w:val="1A2B25FE"/>
    <w:rsid w:val="1A3454BE"/>
    <w:rsid w:val="1A37645B"/>
    <w:rsid w:val="1A523105"/>
    <w:rsid w:val="1A5562D2"/>
    <w:rsid w:val="1A64411F"/>
    <w:rsid w:val="1A7857C1"/>
    <w:rsid w:val="1A863758"/>
    <w:rsid w:val="1A912C14"/>
    <w:rsid w:val="1A9160AD"/>
    <w:rsid w:val="1AA91D4F"/>
    <w:rsid w:val="1AB14FC0"/>
    <w:rsid w:val="1AB203D4"/>
    <w:rsid w:val="1AB77836"/>
    <w:rsid w:val="1AC94D1F"/>
    <w:rsid w:val="1ACE7057"/>
    <w:rsid w:val="1AD6153D"/>
    <w:rsid w:val="1ADA55B5"/>
    <w:rsid w:val="1ADC1643"/>
    <w:rsid w:val="1ADF0AC1"/>
    <w:rsid w:val="1AED219F"/>
    <w:rsid w:val="1AED2C11"/>
    <w:rsid w:val="1B094BB4"/>
    <w:rsid w:val="1B0E04C0"/>
    <w:rsid w:val="1B0E27E5"/>
    <w:rsid w:val="1B192659"/>
    <w:rsid w:val="1B193B18"/>
    <w:rsid w:val="1B341EBA"/>
    <w:rsid w:val="1B3B5A5B"/>
    <w:rsid w:val="1B400993"/>
    <w:rsid w:val="1B40336B"/>
    <w:rsid w:val="1B4A340F"/>
    <w:rsid w:val="1B4B16C4"/>
    <w:rsid w:val="1B512965"/>
    <w:rsid w:val="1B5514DD"/>
    <w:rsid w:val="1B75757B"/>
    <w:rsid w:val="1B8B78DA"/>
    <w:rsid w:val="1B8F6855"/>
    <w:rsid w:val="1B911C99"/>
    <w:rsid w:val="1BA74A90"/>
    <w:rsid w:val="1BA90931"/>
    <w:rsid w:val="1BAF3854"/>
    <w:rsid w:val="1BB937B3"/>
    <w:rsid w:val="1BC0425F"/>
    <w:rsid w:val="1BD56E55"/>
    <w:rsid w:val="1BD82C95"/>
    <w:rsid w:val="1BE16AFC"/>
    <w:rsid w:val="1BE35EAD"/>
    <w:rsid w:val="1BE91204"/>
    <w:rsid w:val="1BEC65C0"/>
    <w:rsid w:val="1BF76A78"/>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CF329A3"/>
    <w:rsid w:val="1D0474A7"/>
    <w:rsid w:val="1D0D49B3"/>
    <w:rsid w:val="1D12478C"/>
    <w:rsid w:val="1D1817C7"/>
    <w:rsid w:val="1D2F1D46"/>
    <w:rsid w:val="1D4D3258"/>
    <w:rsid w:val="1D51270F"/>
    <w:rsid w:val="1D526265"/>
    <w:rsid w:val="1D535BFB"/>
    <w:rsid w:val="1D7326C6"/>
    <w:rsid w:val="1D7E63F0"/>
    <w:rsid w:val="1D8C3DAD"/>
    <w:rsid w:val="1DAE4EFB"/>
    <w:rsid w:val="1DB71CD1"/>
    <w:rsid w:val="1DBC10D7"/>
    <w:rsid w:val="1DBD16BE"/>
    <w:rsid w:val="1DC11297"/>
    <w:rsid w:val="1DEE0F15"/>
    <w:rsid w:val="1DF15A34"/>
    <w:rsid w:val="1DFD30C4"/>
    <w:rsid w:val="1E1D65A9"/>
    <w:rsid w:val="1E1F62DB"/>
    <w:rsid w:val="1E2B3BCE"/>
    <w:rsid w:val="1E3705BA"/>
    <w:rsid w:val="1E3F0D90"/>
    <w:rsid w:val="1E4B77EA"/>
    <w:rsid w:val="1E582320"/>
    <w:rsid w:val="1E5F399D"/>
    <w:rsid w:val="1E642BA9"/>
    <w:rsid w:val="1E766DF2"/>
    <w:rsid w:val="1E780410"/>
    <w:rsid w:val="1E8E5EF5"/>
    <w:rsid w:val="1E9B24D5"/>
    <w:rsid w:val="1EA12FC1"/>
    <w:rsid w:val="1EA5795B"/>
    <w:rsid w:val="1EAD0FF4"/>
    <w:rsid w:val="1EB24880"/>
    <w:rsid w:val="1EC11CB6"/>
    <w:rsid w:val="1EC76DC7"/>
    <w:rsid w:val="1EC85A19"/>
    <w:rsid w:val="1ECA0FDF"/>
    <w:rsid w:val="1ECE3F18"/>
    <w:rsid w:val="1ED5637B"/>
    <w:rsid w:val="1ED92D03"/>
    <w:rsid w:val="1EF0541B"/>
    <w:rsid w:val="1EF27FBA"/>
    <w:rsid w:val="1EFF0A00"/>
    <w:rsid w:val="1F041A9E"/>
    <w:rsid w:val="1F0E53CA"/>
    <w:rsid w:val="1F105913"/>
    <w:rsid w:val="1F130AAF"/>
    <w:rsid w:val="1F1B6A59"/>
    <w:rsid w:val="1F1D3619"/>
    <w:rsid w:val="1F235508"/>
    <w:rsid w:val="1F2579D8"/>
    <w:rsid w:val="1F2F1AF9"/>
    <w:rsid w:val="1F3026A2"/>
    <w:rsid w:val="1F3C23AD"/>
    <w:rsid w:val="1F444220"/>
    <w:rsid w:val="1F4D339A"/>
    <w:rsid w:val="1F517B8E"/>
    <w:rsid w:val="1F540F6B"/>
    <w:rsid w:val="1F5B1966"/>
    <w:rsid w:val="1F792F27"/>
    <w:rsid w:val="1F904F2D"/>
    <w:rsid w:val="1F9C3C77"/>
    <w:rsid w:val="1FB57415"/>
    <w:rsid w:val="1FBE768E"/>
    <w:rsid w:val="1FD033CC"/>
    <w:rsid w:val="1FD072CB"/>
    <w:rsid w:val="1FD2336A"/>
    <w:rsid w:val="1FD446A7"/>
    <w:rsid w:val="1FD81AFC"/>
    <w:rsid w:val="1FE31889"/>
    <w:rsid w:val="1FE761B1"/>
    <w:rsid w:val="1FF92454"/>
    <w:rsid w:val="200F4543"/>
    <w:rsid w:val="202B3804"/>
    <w:rsid w:val="205D1CF3"/>
    <w:rsid w:val="20600899"/>
    <w:rsid w:val="206776D6"/>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93187"/>
    <w:rsid w:val="217F5FEA"/>
    <w:rsid w:val="218B14A7"/>
    <w:rsid w:val="21907321"/>
    <w:rsid w:val="21966135"/>
    <w:rsid w:val="21AA139D"/>
    <w:rsid w:val="21C2768F"/>
    <w:rsid w:val="21D634F4"/>
    <w:rsid w:val="21D912D2"/>
    <w:rsid w:val="21DA5CA4"/>
    <w:rsid w:val="21E26D67"/>
    <w:rsid w:val="21E40879"/>
    <w:rsid w:val="21EC5465"/>
    <w:rsid w:val="21FC4A8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04567"/>
    <w:rsid w:val="241B3778"/>
    <w:rsid w:val="242244CF"/>
    <w:rsid w:val="243A6DF4"/>
    <w:rsid w:val="244B4209"/>
    <w:rsid w:val="245026D9"/>
    <w:rsid w:val="24560AE2"/>
    <w:rsid w:val="24671C47"/>
    <w:rsid w:val="2473093C"/>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26AD1"/>
    <w:rsid w:val="258D7703"/>
    <w:rsid w:val="25965B26"/>
    <w:rsid w:val="25A65B5B"/>
    <w:rsid w:val="25A8698B"/>
    <w:rsid w:val="25B57485"/>
    <w:rsid w:val="25BC2096"/>
    <w:rsid w:val="25C1234B"/>
    <w:rsid w:val="25CD3FBC"/>
    <w:rsid w:val="25CE04F1"/>
    <w:rsid w:val="25E242BB"/>
    <w:rsid w:val="25E540FF"/>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2630EE"/>
    <w:rsid w:val="273749FA"/>
    <w:rsid w:val="27550AD0"/>
    <w:rsid w:val="2756780D"/>
    <w:rsid w:val="275F248D"/>
    <w:rsid w:val="27644211"/>
    <w:rsid w:val="276F5857"/>
    <w:rsid w:val="27713096"/>
    <w:rsid w:val="277C6089"/>
    <w:rsid w:val="278019FC"/>
    <w:rsid w:val="27817DC3"/>
    <w:rsid w:val="27897417"/>
    <w:rsid w:val="278F1BA4"/>
    <w:rsid w:val="27913C45"/>
    <w:rsid w:val="27A449A7"/>
    <w:rsid w:val="27AE7395"/>
    <w:rsid w:val="27B24E9C"/>
    <w:rsid w:val="27BC433E"/>
    <w:rsid w:val="27CE139A"/>
    <w:rsid w:val="27E25E49"/>
    <w:rsid w:val="27E63AB6"/>
    <w:rsid w:val="27F231DD"/>
    <w:rsid w:val="28162C62"/>
    <w:rsid w:val="28205EB0"/>
    <w:rsid w:val="282B4784"/>
    <w:rsid w:val="283046FD"/>
    <w:rsid w:val="2837420E"/>
    <w:rsid w:val="283C5A70"/>
    <w:rsid w:val="2845270C"/>
    <w:rsid w:val="284A470E"/>
    <w:rsid w:val="285A7B8F"/>
    <w:rsid w:val="285C6B52"/>
    <w:rsid w:val="286310DC"/>
    <w:rsid w:val="28786605"/>
    <w:rsid w:val="287B731C"/>
    <w:rsid w:val="287E7D94"/>
    <w:rsid w:val="28803308"/>
    <w:rsid w:val="2887164E"/>
    <w:rsid w:val="28892426"/>
    <w:rsid w:val="288B2E18"/>
    <w:rsid w:val="28A843B1"/>
    <w:rsid w:val="28B20B7C"/>
    <w:rsid w:val="28DF2C40"/>
    <w:rsid w:val="28E44291"/>
    <w:rsid w:val="28E77369"/>
    <w:rsid w:val="28E9631F"/>
    <w:rsid w:val="28EB1022"/>
    <w:rsid w:val="290063D2"/>
    <w:rsid w:val="29052664"/>
    <w:rsid w:val="29065633"/>
    <w:rsid w:val="29090CF2"/>
    <w:rsid w:val="2909549D"/>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460495"/>
    <w:rsid w:val="2A542476"/>
    <w:rsid w:val="2A572019"/>
    <w:rsid w:val="2A606A48"/>
    <w:rsid w:val="2A672272"/>
    <w:rsid w:val="2A774F13"/>
    <w:rsid w:val="2A884AA1"/>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92BE6"/>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A4189"/>
    <w:rsid w:val="2B5D3ED4"/>
    <w:rsid w:val="2B7831EA"/>
    <w:rsid w:val="2B7D13CC"/>
    <w:rsid w:val="2B8876B4"/>
    <w:rsid w:val="2B902E07"/>
    <w:rsid w:val="2B935FD0"/>
    <w:rsid w:val="2BA13AB1"/>
    <w:rsid w:val="2BA857ED"/>
    <w:rsid w:val="2BB52906"/>
    <w:rsid w:val="2BBF2CAD"/>
    <w:rsid w:val="2BD94617"/>
    <w:rsid w:val="2BDD4799"/>
    <w:rsid w:val="2C117301"/>
    <w:rsid w:val="2C191249"/>
    <w:rsid w:val="2C2D1BEC"/>
    <w:rsid w:val="2C2E702D"/>
    <w:rsid w:val="2C396882"/>
    <w:rsid w:val="2C3B789F"/>
    <w:rsid w:val="2C467CD2"/>
    <w:rsid w:val="2C4A64EC"/>
    <w:rsid w:val="2C4C4186"/>
    <w:rsid w:val="2C4C5BF6"/>
    <w:rsid w:val="2C6E4CEB"/>
    <w:rsid w:val="2C786B60"/>
    <w:rsid w:val="2C7A2888"/>
    <w:rsid w:val="2C802F84"/>
    <w:rsid w:val="2C8045D1"/>
    <w:rsid w:val="2C9877F9"/>
    <w:rsid w:val="2CAA3375"/>
    <w:rsid w:val="2CB771ED"/>
    <w:rsid w:val="2CC130AA"/>
    <w:rsid w:val="2CC736A5"/>
    <w:rsid w:val="2CD40880"/>
    <w:rsid w:val="2CE04532"/>
    <w:rsid w:val="2CEB42D0"/>
    <w:rsid w:val="2D0A6D50"/>
    <w:rsid w:val="2D0A7297"/>
    <w:rsid w:val="2D1350E2"/>
    <w:rsid w:val="2D15427B"/>
    <w:rsid w:val="2D35124C"/>
    <w:rsid w:val="2D416047"/>
    <w:rsid w:val="2D4D0E6D"/>
    <w:rsid w:val="2D501998"/>
    <w:rsid w:val="2D5B049B"/>
    <w:rsid w:val="2D696E27"/>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C47DBD"/>
    <w:rsid w:val="2ED237F3"/>
    <w:rsid w:val="2ED32DFF"/>
    <w:rsid w:val="2EE83A34"/>
    <w:rsid w:val="2EFE23E9"/>
    <w:rsid w:val="2F0C4C2A"/>
    <w:rsid w:val="2F0F563F"/>
    <w:rsid w:val="2F144960"/>
    <w:rsid w:val="2F1519D6"/>
    <w:rsid w:val="2F170C0F"/>
    <w:rsid w:val="2F1F3A4D"/>
    <w:rsid w:val="2F2B0AB4"/>
    <w:rsid w:val="2F2B4668"/>
    <w:rsid w:val="2F3E0C12"/>
    <w:rsid w:val="2F434516"/>
    <w:rsid w:val="2F4558F1"/>
    <w:rsid w:val="2F4A56AD"/>
    <w:rsid w:val="2F4A6C26"/>
    <w:rsid w:val="2F581DBA"/>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F7499F"/>
    <w:rsid w:val="3002556F"/>
    <w:rsid w:val="300A43D0"/>
    <w:rsid w:val="301537C5"/>
    <w:rsid w:val="30185978"/>
    <w:rsid w:val="30264A9E"/>
    <w:rsid w:val="302E6167"/>
    <w:rsid w:val="303C26DA"/>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8C4E29"/>
    <w:rsid w:val="31902AB1"/>
    <w:rsid w:val="319D0930"/>
    <w:rsid w:val="31A30319"/>
    <w:rsid w:val="31A6662C"/>
    <w:rsid w:val="31B50898"/>
    <w:rsid w:val="31B50F9D"/>
    <w:rsid w:val="31B62FDB"/>
    <w:rsid w:val="31BA2482"/>
    <w:rsid w:val="31BE47CA"/>
    <w:rsid w:val="31D01CA2"/>
    <w:rsid w:val="31DF176C"/>
    <w:rsid w:val="31E8134E"/>
    <w:rsid w:val="31F45A41"/>
    <w:rsid w:val="31FF4B7E"/>
    <w:rsid w:val="320A13F1"/>
    <w:rsid w:val="3211002E"/>
    <w:rsid w:val="32117718"/>
    <w:rsid w:val="323A5F58"/>
    <w:rsid w:val="32774B5E"/>
    <w:rsid w:val="328209B0"/>
    <w:rsid w:val="32955496"/>
    <w:rsid w:val="32983099"/>
    <w:rsid w:val="329C2838"/>
    <w:rsid w:val="32AA5592"/>
    <w:rsid w:val="32AD61A5"/>
    <w:rsid w:val="32B51B69"/>
    <w:rsid w:val="32D72997"/>
    <w:rsid w:val="32D74397"/>
    <w:rsid w:val="32D820EF"/>
    <w:rsid w:val="32E46B67"/>
    <w:rsid w:val="32E75DA8"/>
    <w:rsid w:val="32F53D6A"/>
    <w:rsid w:val="32F653C3"/>
    <w:rsid w:val="33052E5A"/>
    <w:rsid w:val="330E07F5"/>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4F35E00"/>
    <w:rsid w:val="3509322F"/>
    <w:rsid w:val="350A5D7E"/>
    <w:rsid w:val="3515628F"/>
    <w:rsid w:val="351867D0"/>
    <w:rsid w:val="351F4211"/>
    <w:rsid w:val="35212B53"/>
    <w:rsid w:val="35252DD9"/>
    <w:rsid w:val="35262532"/>
    <w:rsid w:val="352F2677"/>
    <w:rsid w:val="353A08BE"/>
    <w:rsid w:val="353D495A"/>
    <w:rsid w:val="35465C18"/>
    <w:rsid w:val="35552291"/>
    <w:rsid w:val="35584D6D"/>
    <w:rsid w:val="355A7A28"/>
    <w:rsid w:val="355D135C"/>
    <w:rsid w:val="355D6ED8"/>
    <w:rsid w:val="356D70C0"/>
    <w:rsid w:val="357039DD"/>
    <w:rsid w:val="35772AE3"/>
    <w:rsid w:val="357B3ABA"/>
    <w:rsid w:val="357D1F5D"/>
    <w:rsid w:val="358173F3"/>
    <w:rsid w:val="3584332D"/>
    <w:rsid w:val="35906EE4"/>
    <w:rsid w:val="35992086"/>
    <w:rsid w:val="35A452E5"/>
    <w:rsid w:val="35A96631"/>
    <w:rsid w:val="35AB4C97"/>
    <w:rsid w:val="35AD00BE"/>
    <w:rsid w:val="35B33C35"/>
    <w:rsid w:val="35B9646A"/>
    <w:rsid w:val="35C21CAF"/>
    <w:rsid w:val="35D0318C"/>
    <w:rsid w:val="35D111DF"/>
    <w:rsid w:val="35D7392F"/>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4037A"/>
    <w:rsid w:val="371A521A"/>
    <w:rsid w:val="3722586F"/>
    <w:rsid w:val="37252757"/>
    <w:rsid w:val="37335775"/>
    <w:rsid w:val="37362012"/>
    <w:rsid w:val="37372456"/>
    <w:rsid w:val="37391007"/>
    <w:rsid w:val="37404B13"/>
    <w:rsid w:val="374107ED"/>
    <w:rsid w:val="374F724C"/>
    <w:rsid w:val="3750353A"/>
    <w:rsid w:val="37791406"/>
    <w:rsid w:val="377F56A1"/>
    <w:rsid w:val="378A3597"/>
    <w:rsid w:val="378C59A0"/>
    <w:rsid w:val="379A65A9"/>
    <w:rsid w:val="37A15AB9"/>
    <w:rsid w:val="37C67CEC"/>
    <w:rsid w:val="37D1690E"/>
    <w:rsid w:val="37E474EC"/>
    <w:rsid w:val="37E93735"/>
    <w:rsid w:val="37F47C83"/>
    <w:rsid w:val="37FC4441"/>
    <w:rsid w:val="37FF7782"/>
    <w:rsid w:val="380C507F"/>
    <w:rsid w:val="381C5DA5"/>
    <w:rsid w:val="381E6D24"/>
    <w:rsid w:val="381E7251"/>
    <w:rsid w:val="382A53D5"/>
    <w:rsid w:val="383652ED"/>
    <w:rsid w:val="38415702"/>
    <w:rsid w:val="384B0C3F"/>
    <w:rsid w:val="385701A2"/>
    <w:rsid w:val="386844B4"/>
    <w:rsid w:val="386900A2"/>
    <w:rsid w:val="3871367D"/>
    <w:rsid w:val="388D2D55"/>
    <w:rsid w:val="3898638A"/>
    <w:rsid w:val="38AC792F"/>
    <w:rsid w:val="38B26B0B"/>
    <w:rsid w:val="38BA270B"/>
    <w:rsid w:val="38BB1341"/>
    <w:rsid w:val="38BB1B72"/>
    <w:rsid w:val="38C44B1C"/>
    <w:rsid w:val="38E56697"/>
    <w:rsid w:val="38E8216B"/>
    <w:rsid w:val="3909782E"/>
    <w:rsid w:val="391444AD"/>
    <w:rsid w:val="391B3E02"/>
    <w:rsid w:val="391F0952"/>
    <w:rsid w:val="392642AC"/>
    <w:rsid w:val="39294974"/>
    <w:rsid w:val="393658EA"/>
    <w:rsid w:val="393B2AA1"/>
    <w:rsid w:val="39452765"/>
    <w:rsid w:val="394579D4"/>
    <w:rsid w:val="39464B68"/>
    <w:rsid w:val="397059EB"/>
    <w:rsid w:val="398028B7"/>
    <w:rsid w:val="398652E8"/>
    <w:rsid w:val="39932E80"/>
    <w:rsid w:val="399723BD"/>
    <w:rsid w:val="399C790E"/>
    <w:rsid w:val="39AD0862"/>
    <w:rsid w:val="39C429F4"/>
    <w:rsid w:val="39C54834"/>
    <w:rsid w:val="39CD31DF"/>
    <w:rsid w:val="39DF3DBB"/>
    <w:rsid w:val="39F8007C"/>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612DA4"/>
    <w:rsid w:val="3A6A57DE"/>
    <w:rsid w:val="3A707D13"/>
    <w:rsid w:val="3A80410F"/>
    <w:rsid w:val="3A8A0AE3"/>
    <w:rsid w:val="3A8F0F59"/>
    <w:rsid w:val="3A9979BE"/>
    <w:rsid w:val="3A9E1B70"/>
    <w:rsid w:val="3AA12E4E"/>
    <w:rsid w:val="3AB848DE"/>
    <w:rsid w:val="3AC813AC"/>
    <w:rsid w:val="3AD330F7"/>
    <w:rsid w:val="3AD71F6B"/>
    <w:rsid w:val="3AE66876"/>
    <w:rsid w:val="3AF53639"/>
    <w:rsid w:val="3AF62DC2"/>
    <w:rsid w:val="3AFA4B51"/>
    <w:rsid w:val="3B036D81"/>
    <w:rsid w:val="3B1738F9"/>
    <w:rsid w:val="3B1A2AEE"/>
    <w:rsid w:val="3B1D50E8"/>
    <w:rsid w:val="3B2576D0"/>
    <w:rsid w:val="3B2862CD"/>
    <w:rsid w:val="3B3614CA"/>
    <w:rsid w:val="3B3C3BFF"/>
    <w:rsid w:val="3B3E5A4F"/>
    <w:rsid w:val="3B43612D"/>
    <w:rsid w:val="3B465AAD"/>
    <w:rsid w:val="3B501B37"/>
    <w:rsid w:val="3B5D787A"/>
    <w:rsid w:val="3B5F1D0C"/>
    <w:rsid w:val="3B633B39"/>
    <w:rsid w:val="3B6A75B2"/>
    <w:rsid w:val="3B6C183F"/>
    <w:rsid w:val="3B716826"/>
    <w:rsid w:val="3B82605A"/>
    <w:rsid w:val="3B8643FB"/>
    <w:rsid w:val="3B865400"/>
    <w:rsid w:val="3B8C3C14"/>
    <w:rsid w:val="3B9A6870"/>
    <w:rsid w:val="3B9B38C9"/>
    <w:rsid w:val="3B9C0635"/>
    <w:rsid w:val="3BA87780"/>
    <w:rsid w:val="3BAF72C4"/>
    <w:rsid w:val="3BB11956"/>
    <w:rsid w:val="3BB43E16"/>
    <w:rsid w:val="3BC4115E"/>
    <w:rsid w:val="3BC464A4"/>
    <w:rsid w:val="3BC62916"/>
    <w:rsid w:val="3BCB15B9"/>
    <w:rsid w:val="3BCD4D79"/>
    <w:rsid w:val="3BD71683"/>
    <w:rsid w:val="3BDA372B"/>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456A68"/>
    <w:rsid w:val="3C4F16C1"/>
    <w:rsid w:val="3C5D7DF9"/>
    <w:rsid w:val="3C6068CD"/>
    <w:rsid w:val="3C7C669D"/>
    <w:rsid w:val="3C7E0AFD"/>
    <w:rsid w:val="3C8310DE"/>
    <w:rsid w:val="3C8420AE"/>
    <w:rsid w:val="3C8B14D1"/>
    <w:rsid w:val="3C8D2FD6"/>
    <w:rsid w:val="3C9A2A62"/>
    <w:rsid w:val="3CA10C94"/>
    <w:rsid w:val="3CA849CB"/>
    <w:rsid w:val="3CCB5BC6"/>
    <w:rsid w:val="3CD14649"/>
    <w:rsid w:val="3CE86A1C"/>
    <w:rsid w:val="3CEF1F9E"/>
    <w:rsid w:val="3D062484"/>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24673"/>
    <w:rsid w:val="3D554335"/>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CB24A6"/>
    <w:rsid w:val="3DCC1E7E"/>
    <w:rsid w:val="3DD4374A"/>
    <w:rsid w:val="3DDD29A0"/>
    <w:rsid w:val="3DE15919"/>
    <w:rsid w:val="3DE976C2"/>
    <w:rsid w:val="3DF95EC3"/>
    <w:rsid w:val="3DFE5953"/>
    <w:rsid w:val="3E143687"/>
    <w:rsid w:val="3E2C005F"/>
    <w:rsid w:val="3E325D1E"/>
    <w:rsid w:val="3E3976D3"/>
    <w:rsid w:val="3E4905DE"/>
    <w:rsid w:val="3E4C0877"/>
    <w:rsid w:val="3E6A15A8"/>
    <w:rsid w:val="3E6B7465"/>
    <w:rsid w:val="3E707A7A"/>
    <w:rsid w:val="3E735B9C"/>
    <w:rsid w:val="3E7C330F"/>
    <w:rsid w:val="3E820130"/>
    <w:rsid w:val="3E8558DB"/>
    <w:rsid w:val="3E892D0A"/>
    <w:rsid w:val="3EA07325"/>
    <w:rsid w:val="3EB2263C"/>
    <w:rsid w:val="3EBD2F8D"/>
    <w:rsid w:val="3EC949A3"/>
    <w:rsid w:val="3ED21C3F"/>
    <w:rsid w:val="3ED92B4F"/>
    <w:rsid w:val="3EDB49C2"/>
    <w:rsid w:val="3EDF3C64"/>
    <w:rsid w:val="3EE21E99"/>
    <w:rsid w:val="3EE6497C"/>
    <w:rsid w:val="3EED30FA"/>
    <w:rsid w:val="3EF459CF"/>
    <w:rsid w:val="3EF62DD7"/>
    <w:rsid w:val="3F0644E9"/>
    <w:rsid w:val="3F1556CB"/>
    <w:rsid w:val="3F19546D"/>
    <w:rsid w:val="3F24498F"/>
    <w:rsid w:val="3F2A38EA"/>
    <w:rsid w:val="3F42308C"/>
    <w:rsid w:val="3F4F005D"/>
    <w:rsid w:val="3F5C238A"/>
    <w:rsid w:val="3F6002AA"/>
    <w:rsid w:val="3F6468A4"/>
    <w:rsid w:val="3F652907"/>
    <w:rsid w:val="3F7C280B"/>
    <w:rsid w:val="3F86115B"/>
    <w:rsid w:val="3F8C0AE9"/>
    <w:rsid w:val="3F8D1F32"/>
    <w:rsid w:val="3F9360F8"/>
    <w:rsid w:val="3F9506AB"/>
    <w:rsid w:val="3F970FDB"/>
    <w:rsid w:val="3F9C4A09"/>
    <w:rsid w:val="3FA20CED"/>
    <w:rsid w:val="3FBD7207"/>
    <w:rsid w:val="3FC954B3"/>
    <w:rsid w:val="3FCB68C9"/>
    <w:rsid w:val="3FCD0087"/>
    <w:rsid w:val="3FCF2F1A"/>
    <w:rsid w:val="3FF97E2E"/>
    <w:rsid w:val="400F0089"/>
    <w:rsid w:val="401E13CD"/>
    <w:rsid w:val="40210CD7"/>
    <w:rsid w:val="402E54E8"/>
    <w:rsid w:val="40301AE6"/>
    <w:rsid w:val="40326E41"/>
    <w:rsid w:val="40385AA9"/>
    <w:rsid w:val="403B29C9"/>
    <w:rsid w:val="403B53C3"/>
    <w:rsid w:val="403D69B3"/>
    <w:rsid w:val="404558DE"/>
    <w:rsid w:val="40751636"/>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D5504"/>
    <w:rsid w:val="40EF5DCD"/>
    <w:rsid w:val="40F712C9"/>
    <w:rsid w:val="41055B22"/>
    <w:rsid w:val="410E0D77"/>
    <w:rsid w:val="41143DA3"/>
    <w:rsid w:val="41145094"/>
    <w:rsid w:val="4139101E"/>
    <w:rsid w:val="41443AA3"/>
    <w:rsid w:val="41454EA2"/>
    <w:rsid w:val="415347E5"/>
    <w:rsid w:val="41783809"/>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5D0E05"/>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76EFE"/>
    <w:rsid w:val="42E84AD3"/>
    <w:rsid w:val="430704FF"/>
    <w:rsid w:val="43124C8D"/>
    <w:rsid w:val="43166EE4"/>
    <w:rsid w:val="43290253"/>
    <w:rsid w:val="432B2F7F"/>
    <w:rsid w:val="432F74E7"/>
    <w:rsid w:val="433930DA"/>
    <w:rsid w:val="433A276B"/>
    <w:rsid w:val="433D027C"/>
    <w:rsid w:val="433D0BFC"/>
    <w:rsid w:val="433F3B94"/>
    <w:rsid w:val="433F610A"/>
    <w:rsid w:val="43434724"/>
    <w:rsid w:val="4355636B"/>
    <w:rsid w:val="43670F1D"/>
    <w:rsid w:val="4373608B"/>
    <w:rsid w:val="43760E30"/>
    <w:rsid w:val="437E013B"/>
    <w:rsid w:val="439259D2"/>
    <w:rsid w:val="439B4E7F"/>
    <w:rsid w:val="439F3B07"/>
    <w:rsid w:val="43AA4FA8"/>
    <w:rsid w:val="43B64920"/>
    <w:rsid w:val="43D13E89"/>
    <w:rsid w:val="43E3508A"/>
    <w:rsid w:val="43EB4BFE"/>
    <w:rsid w:val="43EE0ECC"/>
    <w:rsid w:val="43F4135D"/>
    <w:rsid w:val="43F71F07"/>
    <w:rsid w:val="43F7500D"/>
    <w:rsid w:val="44005E7B"/>
    <w:rsid w:val="44013179"/>
    <w:rsid w:val="440805B8"/>
    <w:rsid w:val="44134924"/>
    <w:rsid w:val="441E042F"/>
    <w:rsid w:val="4422594A"/>
    <w:rsid w:val="442A622B"/>
    <w:rsid w:val="443950F3"/>
    <w:rsid w:val="443A0BF2"/>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EE6174"/>
    <w:rsid w:val="44EF1836"/>
    <w:rsid w:val="44F6488D"/>
    <w:rsid w:val="44FC2960"/>
    <w:rsid w:val="45026AC6"/>
    <w:rsid w:val="45044A12"/>
    <w:rsid w:val="450874C4"/>
    <w:rsid w:val="45123B46"/>
    <w:rsid w:val="45282A9A"/>
    <w:rsid w:val="452B6A1A"/>
    <w:rsid w:val="45334A20"/>
    <w:rsid w:val="453C14B9"/>
    <w:rsid w:val="4548010A"/>
    <w:rsid w:val="45481632"/>
    <w:rsid w:val="455238CA"/>
    <w:rsid w:val="4589448D"/>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3E50B8"/>
    <w:rsid w:val="464F0483"/>
    <w:rsid w:val="46524CAD"/>
    <w:rsid w:val="4654512D"/>
    <w:rsid w:val="465B3C93"/>
    <w:rsid w:val="46606872"/>
    <w:rsid w:val="46610707"/>
    <w:rsid w:val="46637EA6"/>
    <w:rsid w:val="466937C7"/>
    <w:rsid w:val="466B2CC7"/>
    <w:rsid w:val="466C195C"/>
    <w:rsid w:val="46750952"/>
    <w:rsid w:val="46A73AA5"/>
    <w:rsid w:val="46B843DB"/>
    <w:rsid w:val="46BC2C14"/>
    <w:rsid w:val="46BE6E68"/>
    <w:rsid w:val="46C30058"/>
    <w:rsid w:val="46C37319"/>
    <w:rsid w:val="46CE7B8B"/>
    <w:rsid w:val="46D32B82"/>
    <w:rsid w:val="46DC1BCB"/>
    <w:rsid w:val="46F07711"/>
    <w:rsid w:val="46F4701B"/>
    <w:rsid w:val="470567D9"/>
    <w:rsid w:val="470F3F48"/>
    <w:rsid w:val="4711691D"/>
    <w:rsid w:val="47205FEA"/>
    <w:rsid w:val="47481121"/>
    <w:rsid w:val="474A50F5"/>
    <w:rsid w:val="474F114B"/>
    <w:rsid w:val="475B7278"/>
    <w:rsid w:val="47644F43"/>
    <w:rsid w:val="47652F85"/>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6B5DCE"/>
    <w:rsid w:val="497C504D"/>
    <w:rsid w:val="497D38F8"/>
    <w:rsid w:val="498D2E01"/>
    <w:rsid w:val="498D3DBD"/>
    <w:rsid w:val="49A72391"/>
    <w:rsid w:val="49D3414A"/>
    <w:rsid w:val="49D815D6"/>
    <w:rsid w:val="49D816F4"/>
    <w:rsid w:val="49DE0ABF"/>
    <w:rsid w:val="49DF26FA"/>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D300DA"/>
    <w:rsid w:val="4AE709A1"/>
    <w:rsid w:val="4AF15C07"/>
    <w:rsid w:val="4AF63C83"/>
    <w:rsid w:val="4AFC516F"/>
    <w:rsid w:val="4B037180"/>
    <w:rsid w:val="4B1646CF"/>
    <w:rsid w:val="4B1C6955"/>
    <w:rsid w:val="4B28747E"/>
    <w:rsid w:val="4B3744E5"/>
    <w:rsid w:val="4B447E0E"/>
    <w:rsid w:val="4B48137F"/>
    <w:rsid w:val="4B6036C9"/>
    <w:rsid w:val="4B6A78F2"/>
    <w:rsid w:val="4B7C1338"/>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AE2049"/>
    <w:rsid w:val="4CC823ED"/>
    <w:rsid w:val="4CC82FE7"/>
    <w:rsid w:val="4CCB0ABF"/>
    <w:rsid w:val="4CD6703B"/>
    <w:rsid w:val="4CDB61F9"/>
    <w:rsid w:val="4CE446FA"/>
    <w:rsid w:val="4CEF0411"/>
    <w:rsid w:val="4CF26DF6"/>
    <w:rsid w:val="4CFC55B3"/>
    <w:rsid w:val="4D1E6E23"/>
    <w:rsid w:val="4D240698"/>
    <w:rsid w:val="4D2C45C3"/>
    <w:rsid w:val="4D363F28"/>
    <w:rsid w:val="4D471B04"/>
    <w:rsid w:val="4D48759A"/>
    <w:rsid w:val="4D4D1D0E"/>
    <w:rsid w:val="4D5A1E97"/>
    <w:rsid w:val="4D78084A"/>
    <w:rsid w:val="4D792A29"/>
    <w:rsid w:val="4D901976"/>
    <w:rsid w:val="4D93060B"/>
    <w:rsid w:val="4D9A669F"/>
    <w:rsid w:val="4DA25154"/>
    <w:rsid w:val="4DAA2A9B"/>
    <w:rsid w:val="4DB96FE3"/>
    <w:rsid w:val="4DC73899"/>
    <w:rsid w:val="4DCC2428"/>
    <w:rsid w:val="4DD7573E"/>
    <w:rsid w:val="4DE20D4D"/>
    <w:rsid w:val="4DEA04F2"/>
    <w:rsid w:val="4E0E0C2A"/>
    <w:rsid w:val="4E137686"/>
    <w:rsid w:val="4E1858BC"/>
    <w:rsid w:val="4E192FF3"/>
    <w:rsid w:val="4E1B2CF6"/>
    <w:rsid w:val="4E214745"/>
    <w:rsid w:val="4E27060C"/>
    <w:rsid w:val="4E38025C"/>
    <w:rsid w:val="4E5737A4"/>
    <w:rsid w:val="4E660625"/>
    <w:rsid w:val="4E6B1C67"/>
    <w:rsid w:val="4E7F5FA8"/>
    <w:rsid w:val="4E876A80"/>
    <w:rsid w:val="4E881A6F"/>
    <w:rsid w:val="4E8835CE"/>
    <w:rsid w:val="4E900192"/>
    <w:rsid w:val="4E9D3F9D"/>
    <w:rsid w:val="4EB46112"/>
    <w:rsid w:val="4EBA6B3A"/>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430F16"/>
    <w:rsid w:val="4F4A1B00"/>
    <w:rsid w:val="4F6B59DE"/>
    <w:rsid w:val="4F6F7BAE"/>
    <w:rsid w:val="4F762283"/>
    <w:rsid w:val="4F9A4993"/>
    <w:rsid w:val="4F9A6982"/>
    <w:rsid w:val="4FA325A6"/>
    <w:rsid w:val="4FA56BCD"/>
    <w:rsid w:val="4FA83E2A"/>
    <w:rsid w:val="4FA844A2"/>
    <w:rsid w:val="4FBF1357"/>
    <w:rsid w:val="4FC42854"/>
    <w:rsid w:val="4FC621F2"/>
    <w:rsid w:val="4FC7319D"/>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6C5899"/>
    <w:rsid w:val="506E6B04"/>
    <w:rsid w:val="50730E54"/>
    <w:rsid w:val="50731582"/>
    <w:rsid w:val="50954CDD"/>
    <w:rsid w:val="509A2E32"/>
    <w:rsid w:val="509F5FAB"/>
    <w:rsid w:val="50B51267"/>
    <w:rsid w:val="50D0779D"/>
    <w:rsid w:val="50E2253E"/>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E23BE"/>
    <w:rsid w:val="526F7059"/>
    <w:rsid w:val="52704CAE"/>
    <w:rsid w:val="527427EF"/>
    <w:rsid w:val="528D1690"/>
    <w:rsid w:val="528D53DC"/>
    <w:rsid w:val="52A54636"/>
    <w:rsid w:val="52BD2046"/>
    <w:rsid w:val="52BD2F64"/>
    <w:rsid w:val="52CB4016"/>
    <w:rsid w:val="52D108EE"/>
    <w:rsid w:val="52D20B31"/>
    <w:rsid w:val="52DD14E9"/>
    <w:rsid w:val="52EF040E"/>
    <w:rsid w:val="53083AA3"/>
    <w:rsid w:val="53284257"/>
    <w:rsid w:val="532F5A3F"/>
    <w:rsid w:val="53396D3A"/>
    <w:rsid w:val="5346574A"/>
    <w:rsid w:val="53674B46"/>
    <w:rsid w:val="536871EA"/>
    <w:rsid w:val="536A6F68"/>
    <w:rsid w:val="537B2D54"/>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925D0"/>
    <w:rsid w:val="5432730E"/>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9535E"/>
    <w:rsid w:val="54CA7B62"/>
    <w:rsid w:val="54CC7DCA"/>
    <w:rsid w:val="54D84744"/>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82D46"/>
    <w:rsid w:val="55FC62A2"/>
    <w:rsid w:val="55FE05F9"/>
    <w:rsid w:val="560C6075"/>
    <w:rsid w:val="560F55C8"/>
    <w:rsid w:val="561153A0"/>
    <w:rsid w:val="56162164"/>
    <w:rsid w:val="56362315"/>
    <w:rsid w:val="563C1BB1"/>
    <w:rsid w:val="563E05D4"/>
    <w:rsid w:val="564546A3"/>
    <w:rsid w:val="564F7F5F"/>
    <w:rsid w:val="5658660E"/>
    <w:rsid w:val="566B701E"/>
    <w:rsid w:val="56707F0B"/>
    <w:rsid w:val="5674719F"/>
    <w:rsid w:val="56801C7E"/>
    <w:rsid w:val="568A7FA4"/>
    <w:rsid w:val="56952F1F"/>
    <w:rsid w:val="56B340F6"/>
    <w:rsid w:val="56C60F9A"/>
    <w:rsid w:val="56CA6C7D"/>
    <w:rsid w:val="56CC2E7C"/>
    <w:rsid w:val="56CC7516"/>
    <w:rsid w:val="56D06CBC"/>
    <w:rsid w:val="56D3702B"/>
    <w:rsid w:val="56E13AAA"/>
    <w:rsid w:val="56E3210E"/>
    <w:rsid w:val="56E95C47"/>
    <w:rsid w:val="56F04979"/>
    <w:rsid w:val="570D2CE4"/>
    <w:rsid w:val="57255749"/>
    <w:rsid w:val="57293DE2"/>
    <w:rsid w:val="572D6D7C"/>
    <w:rsid w:val="57382C2D"/>
    <w:rsid w:val="573F7625"/>
    <w:rsid w:val="57417C3F"/>
    <w:rsid w:val="57492040"/>
    <w:rsid w:val="57607C5D"/>
    <w:rsid w:val="576870CE"/>
    <w:rsid w:val="57876C6C"/>
    <w:rsid w:val="579025E4"/>
    <w:rsid w:val="579919F6"/>
    <w:rsid w:val="579B2D7A"/>
    <w:rsid w:val="57B13971"/>
    <w:rsid w:val="57BE7879"/>
    <w:rsid w:val="57C60660"/>
    <w:rsid w:val="57E717C2"/>
    <w:rsid w:val="57E8396F"/>
    <w:rsid w:val="57F25F2B"/>
    <w:rsid w:val="580A6283"/>
    <w:rsid w:val="580F6546"/>
    <w:rsid w:val="582F3637"/>
    <w:rsid w:val="58340044"/>
    <w:rsid w:val="58427828"/>
    <w:rsid w:val="58503E95"/>
    <w:rsid w:val="58523AB6"/>
    <w:rsid w:val="585A10FF"/>
    <w:rsid w:val="587C03F2"/>
    <w:rsid w:val="58845988"/>
    <w:rsid w:val="588E455C"/>
    <w:rsid w:val="58BB759A"/>
    <w:rsid w:val="58D632E1"/>
    <w:rsid w:val="58EE43A5"/>
    <w:rsid w:val="59011906"/>
    <w:rsid w:val="59252920"/>
    <w:rsid w:val="59324A93"/>
    <w:rsid w:val="59330283"/>
    <w:rsid w:val="59427FB9"/>
    <w:rsid w:val="594A5E3F"/>
    <w:rsid w:val="59507091"/>
    <w:rsid w:val="595632B0"/>
    <w:rsid w:val="59575EB6"/>
    <w:rsid w:val="595E327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139A4"/>
    <w:rsid w:val="5AA24E45"/>
    <w:rsid w:val="5AA61FE7"/>
    <w:rsid w:val="5AB511E0"/>
    <w:rsid w:val="5AB75F83"/>
    <w:rsid w:val="5AE10DCB"/>
    <w:rsid w:val="5AF53485"/>
    <w:rsid w:val="5B0F1D02"/>
    <w:rsid w:val="5B167C07"/>
    <w:rsid w:val="5B17528B"/>
    <w:rsid w:val="5B1A262B"/>
    <w:rsid w:val="5B206E90"/>
    <w:rsid w:val="5B24073B"/>
    <w:rsid w:val="5B265952"/>
    <w:rsid w:val="5B2F5A65"/>
    <w:rsid w:val="5B315B1B"/>
    <w:rsid w:val="5B3B4DA7"/>
    <w:rsid w:val="5B3E3B02"/>
    <w:rsid w:val="5B487FEA"/>
    <w:rsid w:val="5B4C5F35"/>
    <w:rsid w:val="5B524538"/>
    <w:rsid w:val="5B531472"/>
    <w:rsid w:val="5B6339B5"/>
    <w:rsid w:val="5B6E6FAA"/>
    <w:rsid w:val="5B73264B"/>
    <w:rsid w:val="5B734215"/>
    <w:rsid w:val="5BA11B41"/>
    <w:rsid w:val="5BAC57D5"/>
    <w:rsid w:val="5BB60E07"/>
    <w:rsid w:val="5BB85E2E"/>
    <w:rsid w:val="5BBC15CD"/>
    <w:rsid w:val="5BC154FF"/>
    <w:rsid w:val="5BCE1DEC"/>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CDF785F"/>
    <w:rsid w:val="5D097ACE"/>
    <w:rsid w:val="5D124123"/>
    <w:rsid w:val="5D160E88"/>
    <w:rsid w:val="5D170F8F"/>
    <w:rsid w:val="5D2E30EC"/>
    <w:rsid w:val="5D33077E"/>
    <w:rsid w:val="5D3C25DC"/>
    <w:rsid w:val="5D3D5B2F"/>
    <w:rsid w:val="5D4727AF"/>
    <w:rsid w:val="5D5501F2"/>
    <w:rsid w:val="5D5F10C3"/>
    <w:rsid w:val="5D74023B"/>
    <w:rsid w:val="5D76003E"/>
    <w:rsid w:val="5D7B27AE"/>
    <w:rsid w:val="5D936A3C"/>
    <w:rsid w:val="5DA232D1"/>
    <w:rsid w:val="5DB0276A"/>
    <w:rsid w:val="5DB256B2"/>
    <w:rsid w:val="5DC03670"/>
    <w:rsid w:val="5DC66B74"/>
    <w:rsid w:val="5DCA5651"/>
    <w:rsid w:val="5DDC1DA0"/>
    <w:rsid w:val="5DF94359"/>
    <w:rsid w:val="5DFA4D2D"/>
    <w:rsid w:val="5DFF409F"/>
    <w:rsid w:val="5E104740"/>
    <w:rsid w:val="5E22316E"/>
    <w:rsid w:val="5E294D98"/>
    <w:rsid w:val="5E2D6716"/>
    <w:rsid w:val="5E3A6B57"/>
    <w:rsid w:val="5E3B4227"/>
    <w:rsid w:val="5E3C4BD7"/>
    <w:rsid w:val="5E654B94"/>
    <w:rsid w:val="5E671789"/>
    <w:rsid w:val="5E6A2D60"/>
    <w:rsid w:val="5E732AED"/>
    <w:rsid w:val="5E7625CA"/>
    <w:rsid w:val="5E7D69ED"/>
    <w:rsid w:val="5E7F6E97"/>
    <w:rsid w:val="5E9B6F9B"/>
    <w:rsid w:val="5EAC18A7"/>
    <w:rsid w:val="5EC41C59"/>
    <w:rsid w:val="5EC76D0B"/>
    <w:rsid w:val="5ECE020E"/>
    <w:rsid w:val="5EDF234F"/>
    <w:rsid w:val="5EE1348F"/>
    <w:rsid w:val="5EEC4531"/>
    <w:rsid w:val="5EF03005"/>
    <w:rsid w:val="5F0D6C84"/>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800749"/>
    <w:rsid w:val="5F8A2AF4"/>
    <w:rsid w:val="5F9C48E3"/>
    <w:rsid w:val="5FBF3FC2"/>
    <w:rsid w:val="5FC40B48"/>
    <w:rsid w:val="5FC41F4F"/>
    <w:rsid w:val="5FD80461"/>
    <w:rsid w:val="5FDF1EF7"/>
    <w:rsid w:val="5FE93E1D"/>
    <w:rsid w:val="5FF529AA"/>
    <w:rsid w:val="60022F17"/>
    <w:rsid w:val="60084D6A"/>
    <w:rsid w:val="601023F1"/>
    <w:rsid w:val="601375A8"/>
    <w:rsid w:val="601819D1"/>
    <w:rsid w:val="601C086A"/>
    <w:rsid w:val="602316C2"/>
    <w:rsid w:val="603713E2"/>
    <w:rsid w:val="603744A7"/>
    <w:rsid w:val="603B2CE8"/>
    <w:rsid w:val="6041753E"/>
    <w:rsid w:val="60497D52"/>
    <w:rsid w:val="605B0E16"/>
    <w:rsid w:val="605F4B68"/>
    <w:rsid w:val="6060310C"/>
    <w:rsid w:val="606625D3"/>
    <w:rsid w:val="606771FC"/>
    <w:rsid w:val="60734C44"/>
    <w:rsid w:val="608E127D"/>
    <w:rsid w:val="60A26AC3"/>
    <w:rsid w:val="60AA06D8"/>
    <w:rsid w:val="60C64409"/>
    <w:rsid w:val="60E5198E"/>
    <w:rsid w:val="60F46F08"/>
    <w:rsid w:val="610E5299"/>
    <w:rsid w:val="61173233"/>
    <w:rsid w:val="611B6045"/>
    <w:rsid w:val="613258E7"/>
    <w:rsid w:val="613B0519"/>
    <w:rsid w:val="61426594"/>
    <w:rsid w:val="614F7714"/>
    <w:rsid w:val="614F79E9"/>
    <w:rsid w:val="615F1CAE"/>
    <w:rsid w:val="615F2167"/>
    <w:rsid w:val="615F7D6A"/>
    <w:rsid w:val="616048EE"/>
    <w:rsid w:val="61653414"/>
    <w:rsid w:val="6176438F"/>
    <w:rsid w:val="61775B03"/>
    <w:rsid w:val="61787C76"/>
    <w:rsid w:val="617D2724"/>
    <w:rsid w:val="6192024E"/>
    <w:rsid w:val="61D31258"/>
    <w:rsid w:val="61DE1F1F"/>
    <w:rsid w:val="61DE7CB2"/>
    <w:rsid w:val="61E26CFA"/>
    <w:rsid w:val="61F155B4"/>
    <w:rsid w:val="620058CC"/>
    <w:rsid w:val="62010932"/>
    <w:rsid w:val="62175873"/>
    <w:rsid w:val="621A2AEC"/>
    <w:rsid w:val="621D3DE0"/>
    <w:rsid w:val="62204A9C"/>
    <w:rsid w:val="623D3F36"/>
    <w:rsid w:val="624D069F"/>
    <w:rsid w:val="625A3A2B"/>
    <w:rsid w:val="62641E35"/>
    <w:rsid w:val="628664D9"/>
    <w:rsid w:val="628B380A"/>
    <w:rsid w:val="62A86AE4"/>
    <w:rsid w:val="62B6094A"/>
    <w:rsid w:val="62CE4E0F"/>
    <w:rsid w:val="62DF20A9"/>
    <w:rsid w:val="62E54C39"/>
    <w:rsid w:val="62EB578C"/>
    <w:rsid w:val="62F167F5"/>
    <w:rsid w:val="62FE5AC6"/>
    <w:rsid w:val="63200032"/>
    <w:rsid w:val="63325CEE"/>
    <w:rsid w:val="633B4110"/>
    <w:rsid w:val="635555EB"/>
    <w:rsid w:val="635D0A00"/>
    <w:rsid w:val="635D7216"/>
    <w:rsid w:val="636720D2"/>
    <w:rsid w:val="636E7708"/>
    <w:rsid w:val="63716BBE"/>
    <w:rsid w:val="63722410"/>
    <w:rsid w:val="63794C98"/>
    <w:rsid w:val="637F7CAA"/>
    <w:rsid w:val="638B7478"/>
    <w:rsid w:val="638C6540"/>
    <w:rsid w:val="63944133"/>
    <w:rsid w:val="63BF1B3A"/>
    <w:rsid w:val="63C54498"/>
    <w:rsid w:val="63C971F8"/>
    <w:rsid w:val="63CB4BE0"/>
    <w:rsid w:val="63E9343E"/>
    <w:rsid w:val="63EB6780"/>
    <w:rsid w:val="63FA66D5"/>
    <w:rsid w:val="63FC1FB2"/>
    <w:rsid w:val="63FF12C6"/>
    <w:rsid w:val="64025685"/>
    <w:rsid w:val="640456B5"/>
    <w:rsid w:val="64045C6F"/>
    <w:rsid w:val="64051D8F"/>
    <w:rsid w:val="640F38A2"/>
    <w:rsid w:val="640F43C5"/>
    <w:rsid w:val="641A2363"/>
    <w:rsid w:val="641E1343"/>
    <w:rsid w:val="64341720"/>
    <w:rsid w:val="64434AC0"/>
    <w:rsid w:val="6446199A"/>
    <w:rsid w:val="64503668"/>
    <w:rsid w:val="64512DAE"/>
    <w:rsid w:val="646A695C"/>
    <w:rsid w:val="64735CFC"/>
    <w:rsid w:val="64807D52"/>
    <w:rsid w:val="64822F91"/>
    <w:rsid w:val="648B4737"/>
    <w:rsid w:val="648E77AA"/>
    <w:rsid w:val="64923BE6"/>
    <w:rsid w:val="64931551"/>
    <w:rsid w:val="649A7664"/>
    <w:rsid w:val="64AA03CD"/>
    <w:rsid w:val="64B11959"/>
    <w:rsid w:val="64BA1742"/>
    <w:rsid w:val="64C07750"/>
    <w:rsid w:val="64C8402C"/>
    <w:rsid w:val="64CD6B04"/>
    <w:rsid w:val="64D63EE7"/>
    <w:rsid w:val="64D833A6"/>
    <w:rsid w:val="64DC1655"/>
    <w:rsid w:val="64ED57E5"/>
    <w:rsid w:val="64F013C4"/>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84515"/>
    <w:rsid w:val="658F53C8"/>
    <w:rsid w:val="65995C0C"/>
    <w:rsid w:val="65A15764"/>
    <w:rsid w:val="65A22487"/>
    <w:rsid w:val="65B652C1"/>
    <w:rsid w:val="65D74DE3"/>
    <w:rsid w:val="65E9248D"/>
    <w:rsid w:val="65EF7DFF"/>
    <w:rsid w:val="660F4E61"/>
    <w:rsid w:val="6613354E"/>
    <w:rsid w:val="66200813"/>
    <w:rsid w:val="662032A0"/>
    <w:rsid w:val="66322707"/>
    <w:rsid w:val="664A2B0B"/>
    <w:rsid w:val="66643CD5"/>
    <w:rsid w:val="66645BD3"/>
    <w:rsid w:val="666752FC"/>
    <w:rsid w:val="66706620"/>
    <w:rsid w:val="667A0598"/>
    <w:rsid w:val="667A2800"/>
    <w:rsid w:val="667B23ED"/>
    <w:rsid w:val="66895C07"/>
    <w:rsid w:val="669022B7"/>
    <w:rsid w:val="66940A39"/>
    <w:rsid w:val="66AD2869"/>
    <w:rsid w:val="66B73366"/>
    <w:rsid w:val="66C8354A"/>
    <w:rsid w:val="66CA5E5F"/>
    <w:rsid w:val="66E710BA"/>
    <w:rsid w:val="66ED62BD"/>
    <w:rsid w:val="66F61236"/>
    <w:rsid w:val="66F7489D"/>
    <w:rsid w:val="67164009"/>
    <w:rsid w:val="671A520A"/>
    <w:rsid w:val="67292A7D"/>
    <w:rsid w:val="672E27A7"/>
    <w:rsid w:val="673A2970"/>
    <w:rsid w:val="67514E24"/>
    <w:rsid w:val="67620408"/>
    <w:rsid w:val="677878C6"/>
    <w:rsid w:val="677A2F97"/>
    <w:rsid w:val="677D444B"/>
    <w:rsid w:val="67844C9F"/>
    <w:rsid w:val="6786306B"/>
    <w:rsid w:val="678C0D30"/>
    <w:rsid w:val="678F3A8F"/>
    <w:rsid w:val="67A01BAC"/>
    <w:rsid w:val="67A95626"/>
    <w:rsid w:val="67B32B67"/>
    <w:rsid w:val="67C31FC0"/>
    <w:rsid w:val="67C40CB0"/>
    <w:rsid w:val="67C57D8B"/>
    <w:rsid w:val="67CE4F0A"/>
    <w:rsid w:val="67CF70B8"/>
    <w:rsid w:val="67E57D0E"/>
    <w:rsid w:val="67E7052E"/>
    <w:rsid w:val="67EB09CD"/>
    <w:rsid w:val="67F65281"/>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A1A4C"/>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940630"/>
    <w:rsid w:val="69A83449"/>
    <w:rsid w:val="69AF6A95"/>
    <w:rsid w:val="69BB706B"/>
    <w:rsid w:val="69C24AC2"/>
    <w:rsid w:val="69C630CF"/>
    <w:rsid w:val="69C8779E"/>
    <w:rsid w:val="69CD3BA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C51C2"/>
    <w:rsid w:val="6AAD6855"/>
    <w:rsid w:val="6AAF7616"/>
    <w:rsid w:val="6AD51FFB"/>
    <w:rsid w:val="6AD86D68"/>
    <w:rsid w:val="6ADA4924"/>
    <w:rsid w:val="6ADB0495"/>
    <w:rsid w:val="6ADC026A"/>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143CA"/>
    <w:rsid w:val="6BA82C4B"/>
    <w:rsid w:val="6BB02DDF"/>
    <w:rsid w:val="6BD077F7"/>
    <w:rsid w:val="6BD92C40"/>
    <w:rsid w:val="6BE839EF"/>
    <w:rsid w:val="6BED6077"/>
    <w:rsid w:val="6BF63366"/>
    <w:rsid w:val="6C3016AA"/>
    <w:rsid w:val="6C415AEC"/>
    <w:rsid w:val="6C477A25"/>
    <w:rsid w:val="6C4911E3"/>
    <w:rsid w:val="6C4C4DA3"/>
    <w:rsid w:val="6C4D7CCE"/>
    <w:rsid w:val="6C5E4581"/>
    <w:rsid w:val="6C69339D"/>
    <w:rsid w:val="6C6C0002"/>
    <w:rsid w:val="6C921172"/>
    <w:rsid w:val="6CA561EF"/>
    <w:rsid w:val="6CB8187C"/>
    <w:rsid w:val="6CBC7698"/>
    <w:rsid w:val="6CC43DCE"/>
    <w:rsid w:val="6CD90EEB"/>
    <w:rsid w:val="6CDA05DD"/>
    <w:rsid w:val="6CDB5EAA"/>
    <w:rsid w:val="6CDD4B0C"/>
    <w:rsid w:val="6CE95A33"/>
    <w:rsid w:val="6CEC0E02"/>
    <w:rsid w:val="6CF14328"/>
    <w:rsid w:val="6CF27CB7"/>
    <w:rsid w:val="6CFF4FC3"/>
    <w:rsid w:val="6D073BCB"/>
    <w:rsid w:val="6D0B5A94"/>
    <w:rsid w:val="6D1A2501"/>
    <w:rsid w:val="6D232244"/>
    <w:rsid w:val="6D2B1D59"/>
    <w:rsid w:val="6D2D4582"/>
    <w:rsid w:val="6D442267"/>
    <w:rsid w:val="6D473E8D"/>
    <w:rsid w:val="6D4B4AE0"/>
    <w:rsid w:val="6D536837"/>
    <w:rsid w:val="6D701265"/>
    <w:rsid w:val="6D7C2123"/>
    <w:rsid w:val="6D8A17FB"/>
    <w:rsid w:val="6D95593B"/>
    <w:rsid w:val="6D970F0E"/>
    <w:rsid w:val="6DAA2FA8"/>
    <w:rsid w:val="6DAB1C1A"/>
    <w:rsid w:val="6DAB38BE"/>
    <w:rsid w:val="6DE01552"/>
    <w:rsid w:val="6DE63F0D"/>
    <w:rsid w:val="6DEB24F1"/>
    <w:rsid w:val="6DEE4C07"/>
    <w:rsid w:val="6E0C22A1"/>
    <w:rsid w:val="6E11324D"/>
    <w:rsid w:val="6E1E3A1A"/>
    <w:rsid w:val="6E3433E7"/>
    <w:rsid w:val="6E361F05"/>
    <w:rsid w:val="6E363CDF"/>
    <w:rsid w:val="6E3F7264"/>
    <w:rsid w:val="6E527A2D"/>
    <w:rsid w:val="6E5F7415"/>
    <w:rsid w:val="6E7B5445"/>
    <w:rsid w:val="6E847F11"/>
    <w:rsid w:val="6E872104"/>
    <w:rsid w:val="6E9C2F06"/>
    <w:rsid w:val="6E9F30D8"/>
    <w:rsid w:val="6EA0144C"/>
    <w:rsid w:val="6EA63A37"/>
    <w:rsid w:val="6EB45479"/>
    <w:rsid w:val="6EB723FB"/>
    <w:rsid w:val="6EBC6600"/>
    <w:rsid w:val="6EC2611C"/>
    <w:rsid w:val="6EC5561E"/>
    <w:rsid w:val="6EC64ABF"/>
    <w:rsid w:val="6ECA5A5F"/>
    <w:rsid w:val="6ED47047"/>
    <w:rsid w:val="6ED70B19"/>
    <w:rsid w:val="6EFC3550"/>
    <w:rsid w:val="6F043F0B"/>
    <w:rsid w:val="6F2171D7"/>
    <w:rsid w:val="6F2A4E11"/>
    <w:rsid w:val="6F380B8F"/>
    <w:rsid w:val="6F3C40E8"/>
    <w:rsid w:val="6F3D66A3"/>
    <w:rsid w:val="6F3F7521"/>
    <w:rsid w:val="6F451AAA"/>
    <w:rsid w:val="6F4C6F5D"/>
    <w:rsid w:val="6F507371"/>
    <w:rsid w:val="6F576CA6"/>
    <w:rsid w:val="6F584596"/>
    <w:rsid w:val="6F67263E"/>
    <w:rsid w:val="6F6A6E80"/>
    <w:rsid w:val="6F734DEA"/>
    <w:rsid w:val="6F886E71"/>
    <w:rsid w:val="6F9C068A"/>
    <w:rsid w:val="6FAD7943"/>
    <w:rsid w:val="6FB56EFA"/>
    <w:rsid w:val="6FBE5CCB"/>
    <w:rsid w:val="6FC13350"/>
    <w:rsid w:val="6FC323D9"/>
    <w:rsid w:val="6FC86550"/>
    <w:rsid w:val="6FD638B1"/>
    <w:rsid w:val="6FD77CB6"/>
    <w:rsid w:val="6FEF4CBF"/>
    <w:rsid w:val="6FF03265"/>
    <w:rsid w:val="6FF27EB0"/>
    <w:rsid w:val="6FF67217"/>
    <w:rsid w:val="6FFD7C94"/>
    <w:rsid w:val="70111D80"/>
    <w:rsid w:val="7013451F"/>
    <w:rsid w:val="70150303"/>
    <w:rsid w:val="702005DC"/>
    <w:rsid w:val="702E7C60"/>
    <w:rsid w:val="70853BCC"/>
    <w:rsid w:val="70A23903"/>
    <w:rsid w:val="70A36B91"/>
    <w:rsid w:val="70AB660C"/>
    <w:rsid w:val="70B4157B"/>
    <w:rsid w:val="70D01533"/>
    <w:rsid w:val="70D3493E"/>
    <w:rsid w:val="70D76741"/>
    <w:rsid w:val="70E00AE5"/>
    <w:rsid w:val="70FE4328"/>
    <w:rsid w:val="7105718F"/>
    <w:rsid w:val="710A3270"/>
    <w:rsid w:val="710F45F3"/>
    <w:rsid w:val="711819F0"/>
    <w:rsid w:val="712913E3"/>
    <w:rsid w:val="71306252"/>
    <w:rsid w:val="71364608"/>
    <w:rsid w:val="713C7C54"/>
    <w:rsid w:val="716621C1"/>
    <w:rsid w:val="717065C7"/>
    <w:rsid w:val="717A0D2B"/>
    <w:rsid w:val="71A167E4"/>
    <w:rsid w:val="71A46C3A"/>
    <w:rsid w:val="71A53C39"/>
    <w:rsid w:val="71AB5F8A"/>
    <w:rsid w:val="71B04DD0"/>
    <w:rsid w:val="71B07710"/>
    <w:rsid w:val="71B24E95"/>
    <w:rsid w:val="71C5773E"/>
    <w:rsid w:val="71CB20C3"/>
    <w:rsid w:val="71D8471D"/>
    <w:rsid w:val="71DF00AD"/>
    <w:rsid w:val="71E41E32"/>
    <w:rsid w:val="71E62EE7"/>
    <w:rsid w:val="71F55E85"/>
    <w:rsid w:val="71FC4C7C"/>
    <w:rsid w:val="72251DA4"/>
    <w:rsid w:val="72414E2B"/>
    <w:rsid w:val="724D094B"/>
    <w:rsid w:val="725F393D"/>
    <w:rsid w:val="72712929"/>
    <w:rsid w:val="72735155"/>
    <w:rsid w:val="7274287C"/>
    <w:rsid w:val="728114C6"/>
    <w:rsid w:val="7288016D"/>
    <w:rsid w:val="729446A5"/>
    <w:rsid w:val="729841F3"/>
    <w:rsid w:val="729B764A"/>
    <w:rsid w:val="729E44D2"/>
    <w:rsid w:val="72A12305"/>
    <w:rsid w:val="72A938A2"/>
    <w:rsid w:val="72B375F5"/>
    <w:rsid w:val="72B42071"/>
    <w:rsid w:val="72C740ED"/>
    <w:rsid w:val="72DA5AFC"/>
    <w:rsid w:val="72E673CF"/>
    <w:rsid w:val="72EB533D"/>
    <w:rsid w:val="72F12D92"/>
    <w:rsid w:val="730B0B61"/>
    <w:rsid w:val="731668A0"/>
    <w:rsid w:val="731B3421"/>
    <w:rsid w:val="7323171B"/>
    <w:rsid w:val="732A411A"/>
    <w:rsid w:val="73323926"/>
    <w:rsid w:val="735E1484"/>
    <w:rsid w:val="736D44EF"/>
    <w:rsid w:val="73780E63"/>
    <w:rsid w:val="73866EC3"/>
    <w:rsid w:val="739B3131"/>
    <w:rsid w:val="73AE2313"/>
    <w:rsid w:val="73B35A75"/>
    <w:rsid w:val="73C66FFC"/>
    <w:rsid w:val="73C97E9E"/>
    <w:rsid w:val="73D35621"/>
    <w:rsid w:val="73D40DA2"/>
    <w:rsid w:val="73DD1180"/>
    <w:rsid w:val="73E93129"/>
    <w:rsid w:val="73FB1416"/>
    <w:rsid w:val="741D25EF"/>
    <w:rsid w:val="741E5F67"/>
    <w:rsid w:val="74390C11"/>
    <w:rsid w:val="74422B4B"/>
    <w:rsid w:val="744300E1"/>
    <w:rsid w:val="74465350"/>
    <w:rsid w:val="746B647F"/>
    <w:rsid w:val="7489283A"/>
    <w:rsid w:val="749262B3"/>
    <w:rsid w:val="749529EE"/>
    <w:rsid w:val="74973215"/>
    <w:rsid w:val="74A6039C"/>
    <w:rsid w:val="74AE5076"/>
    <w:rsid w:val="74B53285"/>
    <w:rsid w:val="74B746E8"/>
    <w:rsid w:val="74C3296B"/>
    <w:rsid w:val="74D67798"/>
    <w:rsid w:val="74D87365"/>
    <w:rsid w:val="74DF4168"/>
    <w:rsid w:val="75111A9D"/>
    <w:rsid w:val="752650AE"/>
    <w:rsid w:val="752D306B"/>
    <w:rsid w:val="753022BE"/>
    <w:rsid w:val="75311E23"/>
    <w:rsid w:val="754337CB"/>
    <w:rsid w:val="754F3919"/>
    <w:rsid w:val="75530645"/>
    <w:rsid w:val="755631A4"/>
    <w:rsid w:val="755F2C4C"/>
    <w:rsid w:val="75732383"/>
    <w:rsid w:val="757B1931"/>
    <w:rsid w:val="7594489B"/>
    <w:rsid w:val="7595501B"/>
    <w:rsid w:val="7596405D"/>
    <w:rsid w:val="759F5E08"/>
    <w:rsid w:val="75BE4BC3"/>
    <w:rsid w:val="75DF5DB2"/>
    <w:rsid w:val="760E5232"/>
    <w:rsid w:val="76104923"/>
    <w:rsid w:val="762A38F1"/>
    <w:rsid w:val="762B622C"/>
    <w:rsid w:val="762E5891"/>
    <w:rsid w:val="763E0596"/>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F00C5"/>
    <w:rsid w:val="776023D0"/>
    <w:rsid w:val="776B46B2"/>
    <w:rsid w:val="776F431B"/>
    <w:rsid w:val="7778233C"/>
    <w:rsid w:val="777965ED"/>
    <w:rsid w:val="77817EAC"/>
    <w:rsid w:val="77891315"/>
    <w:rsid w:val="778D6E1D"/>
    <w:rsid w:val="77927428"/>
    <w:rsid w:val="779D7593"/>
    <w:rsid w:val="779D792C"/>
    <w:rsid w:val="77AB7559"/>
    <w:rsid w:val="77B211C1"/>
    <w:rsid w:val="77B827FD"/>
    <w:rsid w:val="77C11145"/>
    <w:rsid w:val="77C80872"/>
    <w:rsid w:val="77D02423"/>
    <w:rsid w:val="77D65936"/>
    <w:rsid w:val="77DC06F1"/>
    <w:rsid w:val="77E17736"/>
    <w:rsid w:val="77E61546"/>
    <w:rsid w:val="77FD22D0"/>
    <w:rsid w:val="781D2B81"/>
    <w:rsid w:val="78216773"/>
    <w:rsid w:val="782A3B8B"/>
    <w:rsid w:val="782B487C"/>
    <w:rsid w:val="783862E1"/>
    <w:rsid w:val="785842D3"/>
    <w:rsid w:val="785C44B9"/>
    <w:rsid w:val="78611E12"/>
    <w:rsid w:val="78655361"/>
    <w:rsid w:val="78671C8E"/>
    <w:rsid w:val="78687D69"/>
    <w:rsid w:val="786A3B4D"/>
    <w:rsid w:val="786F756E"/>
    <w:rsid w:val="78737430"/>
    <w:rsid w:val="78740338"/>
    <w:rsid w:val="78855EE9"/>
    <w:rsid w:val="788C32CD"/>
    <w:rsid w:val="7898634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690C6A"/>
    <w:rsid w:val="797B2968"/>
    <w:rsid w:val="797E288F"/>
    <w:rsid w:val="798B58B7"/>
    <w:rsid w:val="79B561F9"/>
    <w:rsid w:val="79B90BB7"/>
    <w:rsid w:val="79BB2056"/>
    <w:rsid w:val="79C178A4"/>
    <w:rsid w:val="79C87ACE"/>
    <w:rsid w:val="79CA5589"/>
    <w:rsid w:val="79CA72B2"/>
    <w:rsid w:val="79CB01E3"/>
    <w:rsid w:val="79DC07CB"/>
    <w:rsid w:val="79E04815"/>
    <w:rsid w:val="79E24A71"/>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C42EFD"/>
    <w:rsid w:val="7ACF293B"/>
    <w:rsid w:val="7ACF5FBB"/>
    <w:rsid w:val="7AD51A8A"/>
    <w:rsid w:val="7AEE6F5C"/>
    <w:rsid w:val="7AF3075E"/>
    <w:rsid w:val="7AF76867"/>
    <w:rsid w:val="7B1903CB"/>
    <w:rsid w:val="7B223A05"/>
    <w:rsid w:val="7B296FD9"/>
    <w:rsid w:val="7B2C1EB5"/>
    <w:rsid w:val="7B375F8B"/>
    <w:rsid w:val="7B4C0855"/>
    <w:rsid w:val="7B550266"/>
    <w:rsid w:val="7B552736"/>
    <w:rsid w:val="7B623A28"/>
    <w:rsid w:val="7B845564"/>
    <w:rsid w:val="7BA6311A"/>
    <w:rsid w:val="7BB2289D"/>
    <w:rsid w:val="7BB30DF6"/>
    <w:rsid w:val="7BC0506C"/>
    <w:rsid w:val="7BC60D5A"/>
    <w:rsid w:val="7BCC327F"/>
    <w:rsid w:val="7BCD44BF"/>
    <w:rsid w:val="7BD06D46"/>
    <w:rsid w:val="7BD5433F"/>
    <w:rsid w:val="7BD63602"/>
    <w:rsid w:val="7BD90926"/>
    <w:rsid w:val="7BE503A1"/>
    <w:rsid w:val="7BEA174C"/>
    <w:rsid w:val="7BED23C1"/>
    <w:rsid w:val="7BF553C8"/>
    <w:rsid w:val="7BF84150"/>
    <w:rsid w:val="7BFD524D"/>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9F6711"/>
    <w:rsid w:val="7DA245E9"/>
    <w:rsid w:val="7DA44162"/>
    <w:rsid w:val="7DA92CC8"/>
    <w:rsid w:val="7DB34368"/>
    <w:rsid w:val="7DB43407"/>
    <w:rsid w:val="7DB54C08"/>
    <w:rsid w:val="7DBB49E8"/>
    <w:rsid w:val="7DC71958"/>
    <w:rsid w:val="7DD0535D"/>
    <w:rsid w:val="7DD662D0"/>
    <w:rsid w:val="7DDC39A2"/>
    <w:rsid w:val="7DDF5BB8"/>
    <w:rsid w:val="7DE546AB"/>
    <w:rsid w:val="7DF076CD"/>
    <w:rsid w:val="7E03513B"/>
    <w:rsid w:val="7E145B78"/>
    <w:rsid w:val="7E1625A8"/>
    <w:rsid w:val="7E1E5DFA"/>
    <w:rsid w:val="7E45572A"/>
    <w:rsid w:val="7E4F3EE6"/>
    <w:rsid w:val="7E525688"/>
    <w:rsid w:val="7E5358A2"/>
    <w:rsid w:val="7E57165F"/>
    <w:rsid w:val="7E5C5F01"/>
    <w:rsid w:val="7E72494E"/>
    <w:rsid w:val="7E811934"/>
    <w:rsid w:val="7E8F6B16"/>
    <w:rsid w:val="7EA617D8"/>
    <w:rsid w:val="7EA96A04"/>
    <w:rsid w:val="7ECA7D82"/>
    <w:rsid w:val="7EDD2BB7"/>
    <w:rsid w:val="7EEE6FEA"/>
    <w:rsid w:val="7EF24838"/>
    <w:rsid w:val="7EFA6953"/>
    <w:rsid w:val="7EFD157F"/>
    <w:rsid w:val="7F007023"/>
    <w:rsid w:val="7F0426FB"/>
    <w:rsid w:val="7F057208"/>
    <w:rsid w:val="7F060840"/>
    <w:rsid w:val="7F0770CE"/>
    <w:rsid w:val="7F084B75"/>
    <w:rsid w:val="7F0B4497"/>
    <w:rsid w:val="7F1262E1"/>
    <w:rsid w:val="7F1E4DF1"/>
    <w:rsid w:val="7F224903"/>
    <w:rsid w:val="7F230D06"/>
    <w:rsid w:val="7F3367F6"/>
    <w:rsid w:val="7F405636"/>
    <w:rsid w:val="7F560F95"/>
    <w:rsid w:val="7F737A53"/>
    <w:rsid w:val="7F8304E3"/>
    <w:rsid w:val="7F8339FD"/>
    <w:rsid w:val="7F8564A7"/>
    <w:rsid w:val="7F974ED5"/>
    <w:rsid w:val="7F9F5B2E"/>
    <w:rsid w:val="7FA15F27"/>
    <w:rsid w:val="7FB25973"/>
    <w:rsid w:val="7FCE1A7C"/>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99"/>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99"/>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2"/>
    <w:qFormat/>
    <w:uiPriority w:val="99"/>
    <w:pPr>
      <w:numPr>
        <w:ilvl w:val="2"/>
        <w:numId w:val="1"/>
      </w:numPr>
      <w:spacing w:before="260" w:after="260" w:line="416" w:lineRule="auto"/>
      <w:outlineLvl w:val="2"/>
    </w:p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4"/>
    <w:qFormat/>
    <w:uiPriority w:val="0"/>
    <w:pPr>
      <w:tabs>
        <w:tab w:val="left" w:pos="1008"/>
        <w:tab w:val="left" w:pos="2383"/>
        <w:tab w:val="clear" w:pos="864"/>
        <w:tab w:val="clear" w:pos="2071"/>
      </w:tabs>
      <w:ind w:left="2196"/>
      <w:outlineLvl w:val="4"/>
    </w:p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90"/>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9"/>
    <w:unhideWhenUsed/>
    <w:qFormat/>
    <w:uiPriority w:val="0"/>
    <w:rPr>
      <w:rFonts w:ascii="宋体"/>
      <w:sz w:val="18"/>
      <w:szCs w:val="18"/>
    </w:rPr>
  </w:style>
  <w:style w:type="paragraph" w:styleId="24">
    <w:name w:val="annotation text"/>
    <w:basedOn w:val="1"/>
    <w:link w:val="176"/>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character" w:customStyle="1" w:styleId="67">
    <w:name w:val="批注框文本 Char"/>
    <w:basedOn w:val="58"/>
    <w:link w:val="36"/>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文档结构图 Char"/>
    <w:basedOn w:val="58"/>
    <w:link w:val="23"/>
    <w:qFormat/>
    <w:uiPriority w:val="0"/>
    <w:rPr>
      <w:rFonts w:ascii="宋体"/>
      <w:kern w:val="2"/>
      <w:sz w:val="18"/>
      <w:szCs w:val="18"/>
    </w:rPr>
  </w:style>
  <w:style w:type="character" w:customStyle="1" w:styleId="70">
    <w:name w:val="标题 1 Char"/>
    <w:basedOn w:val="58"/>
    <w:link w:val="2"/>
    <w:qFormat/>
    <w:uiPriority w:val="99"/>
    <w:rPr>
      <w:b/>
      <w:bCs/>
      <w:kern w:val="44"/>
      <w:sz w:val="44"/>
      <w:szCs w:val="44"/>
    </w:rPr>
  </w:style>
  <w:style w:type="character" w:customStyle="1" w:styleId="71">
    <w:name w:val="标题 2 Char"/>
    <w:basedOn w:val="58"/>
    <w:link w:val="3"/>
    <w:qFormat/>
    <w:uiPriority w:val="99"/>
    <w:rPr>
      <w:rFonts w:ascii="Arial" w:hAnsi="Arial" w:eastAsia="MS Mincho"/>
      <w:sz w:val="32"/>
      <w:szCs w:val="32"/>
      <w:lang w:val="en-GB"/>
    </w:rPr>
  </w:style>
  <w:style w:type="character" w:customStyle="1" w:styleId="72">
    <w:name w:val="标题 3 Char"/>
    <w:basedOn w:val="58"/>
    <w:link w:val="4"/>
    <w:qFormat/>
    <w:uiPriority w:val="99"/>
    <w:rPr>
      <w:rFonts w:ascii="Arial" w:hAnsi="Arial" w:eastAsia="MS Mincho"/>
      <w:b/>
      <w:bCs/>
      <w:sz w:val="32"/>
      <w:szCs w:val="32"/>
      <w:lang w:val="en-GB"/>
    </w:rPr>
  </w:style>
  <w:style w:type="character" w:customStyle="1" w:styleId="73">
    <w:name w:val="标题 4 Char"/>
    <w:basedOn w:val="58"/>
    <w:link w:val="5"/>
    <w:qFormat/>
    <w:uiPriority w:val="0"/>
    <w:rPr>
      <w:rFonts w:ascii="Arial" w:hAnsi="Arial" w:eastAsia="黑体"/>
      <w:b/>
      <w:bCs/>
      <w:sz w:val="28"/>
      <w:szCs w:val="32"/>
      <w:lang w:val="en-GB"/>
    </w:rPr>
  </w:style>
  <w:style w:type="character" w:customStyle="1" w:styleId="74">
    <w:name w:val="标题 5 Char"/>
    <w:basedOn w:val="58"/>
    <w:link w:val="6"/>
    <w:qFormat/>
    <w:uiPriority w:val="0"/>
    <w:rPr>
      <w:rFonts w:ascii="Arial" w:hAnsi="Arial" w:eastAsia="黑体"/>
      <w:b/>
      <w:bCs/>
      <w:sz w:val="28"/>
      <w:szCs w:val="32"/>
      <w:lang w:val="en-GB"/>
    </w:rPr>
  </w:style>
  <w:style w:type="character" w:customStyle="1" w:styleId="75">
    <w:name w:val="标题 6 Char"/>
    <w:basedOn w:val="58"/>
    <w:link w:val="7"/>
    <w:qFormat/>
    <w:uiPriority w:val="0"/>
    <w:rPr>
      <w:rFonts w:ascii="Arial" w:hAnsi="Arial" w:eastAsia="黑体"/>
      <w:b/>
      <w:kern w:val="2"/>
      <w:sz w:val="24"/>
      <w:szCs w:val="24"/>
    </w:rPr>
  </w:style>
  <w:style w:type="character" w:customStyle="1" w:styleId="76">
    <w:name w:val="标题 7 Char"/>
    <w:basedOn w:val="58"/>
    <w:link w:val="8"/>
    <w:qFormat/>
    <w:uiPriority w:val="0"/>
    <w:rPr>
      <w:b/>
      <w:kern w:val="2"/>
      <w:sz w:val="24"/>
      <w:szCs w:val="24"/>
    </w:rPr>
  </w:style>
  <w:style w:type="character" w:customStyle="1" w:styleId="77">
    <w:name w:val="标题 8 Char"/>
    <w:basedOn w:val="58"/>
    <w:link w:val="9"/>
    <w:qFormat/>
    <w:uiPriority w:val="0"/>
    <w:rPr>
      <w:rFonts w:ascii="Arial" w:hAnsi="Arial" w:eastAsia="黑体"/>
      <w:kern w:val="2"/>
      <w:sz w:val="24"/>
      <w:szCs w:val="24"/>
    </w:rPr>
  </w:style>
  <w:style w:type="character" w:customStyle="1" w:styleId="78">
    <w:name w:val="标题 9 Char"/>
    <w:basedOn w:val="58"/>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题注 Char"/>
    <w:link w:val="21"/>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批注主题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5"/>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7"/>
    <w:link w:val="106"/>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8"/>
    <w:link w:val="26"/>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页眉 Char"/>
    <w:link w:val="38"/>
    <w:qFormat/>
    <w:uiPriority w:val="99"/>
    <w:rPr>
      <w:kern w:val="2"/>
      <w:sz w:val="18"/>
      <w:szCs w:val="18"/>
    </w:rPr>
  </w:style>
  <w:style w:type="character" w:customStyle="1" w:styleId="131">
    <w:name w:val="Doc-text2 Char Char"/>
    <w:basedOn w:val="58"/>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脚注文本 Char"/>
    <w:basedOn w:val="58"/>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8"/>
    <w:semiHidden/>
    <w:qFormat/>
    <w:uiPriority w:val="0"/>
    <w:rPr>
      <w:rFonts w:ascii="宋体" w:hAnsi="Courier New" w:cs="Courier New"/>
      <w:kern w:val="2"/>
      <w:sz w:val="21"/>
      <w:szCs w:val="21"/>
    </w:rPr>
  </w:style>
  <w:style w:type="paragraph" w:customStyle="1" w:styleId="163">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批注文字 Char1"/>
    <w:basedOn w:val="58"/>
    <w:link w:val="24"/>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8"/>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99"/>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尾注文本 Char"/>
    <w:basedOn w:val="58"/>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link w:val="2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8"/>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15"/>
    <w:basedOn w:val="58"/>
    <w:qFormat/>
    <w:uiPriority w:val="0"/>
    <w:rPr>
      <w:rFonts w:hint="default" w:ascii="CG Times (WN)" w:hAnsi="CG Times (WN)" w:eastAsia="CG Times (WN)" w:cs="CG Times (WN)"/>
    </w:rPr>
  </w:style>
  <w:style w:type="character" w:customStyle="1" w:styleId="281">
    <w:name w:val="10"/>
    <w:basedOn w:val="58"/>
    <w:qFormat/>
    <w:uiPriority w:val="0"/>
    <w:rPr>
      <w:rFonts w:hint="default" w:ascii="CG Times (WN)" w:hAnsi="CG Times (WN)" w:eastAsia="CG Times (WN)" w:cs="CG Times (WN)"/>
    </w:rPr>
  </w:style>
  <w:style w:type="paragraph" w:customStyle="1" w:styleId="282">
    <w:name w:val="List Paragraph1"/>
    <w:basedOn w:val="1"/>
    <w:unhideWhenUsed/>
    <w:qFormat/>
    <w:uiPriority w:val="34"/>
    <w:pPr>
      <w:ind w:firstLine="420" w:firstLineChars="200"/>
    </w:pPr>
  </w:style>
  <w:style w:type="character" w:customStyle="1" w:styleId="283">
    <w:name w:val="PL Char"/>
    <w:link w:val="246"/>
    <w:qFormat/>
    <w:uiPriority w:val="0"/>
    <w:rPr>
      <w:rFonts w:ascii="Courier New" w:hAnsi="Courier New" w:eastAsia="MS Mincho"/>
      <w:sz w:val="16"/>
      <w:lang w:eastAsia="en-US"/>
    </w:rPr>
  </w:style>
  <w:style w:type="table" w:customStyle="1" w:styleId="284">
    <w:name w:val="清单表 31"/>
    <w:basedOn w:val="56"/>
    <w:qFormat/>
    <w:uiPriority w:val="48"/>
    <w:tblPr>
      <w:tblBorders>
        <w:top w:val="single" w:color="008ED3" w:themeColor="text1" w:sz="4" w:space="0"/>
        <w:left w:val="single" w:color="008ED3" w:themeColor="text1" w:sz="4" w:space="0"/>
        <w:bottom w:val="single" w:color="008ED3" w:themeColor="text1" w:sz="4" w:space="0"/>
        <w:right w:val="single" w:color="008ED3" w:themeColor="text1" w:sz="4" w:space="0"/>
      </w:tblBorders>
    </w:tblPr>
    <w:tblStylePr w:type="firstRow">
      <w:rPr>
        <w:b/>
        <w:bCs/>
        <w:color w:val="FFFFFF" w:themeColor="background1"/>
        <w14:textFill>
          <w14:solidFill>
            <w14:schemeClr w14:val="bg1"/>
          </w14:solidFill>
        </w14:textFill>
      </w:rPr>
      <w:tcPr>
        <w:shd w:val="clear" w:color="auto" w:fill="008ED3" w:themeFill="text1"/>
      </w:tcPr>
    </w:tblStylePr>
    <w:tblStylePr w:type="lastRow">
      <w:rPr>
        <w:b/>
        <w:bCs/>
      </w:rPr>
      <w:tcPr>
        <w:tcBorders>
          <w:top w:val="double" w:color="008ED3" w:themeColor="tex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008ED3" w:themeColor="text1" w:sz="4" w:space="0"/>
          <w:right w:val="single" w:color="008ED3" w:themeColor="text1" w:sz="4" w:space="0"/>
        </w:tcBorders>
      </w:tcPr>
    </w:tblStylePr>
    <w:tblStylePr w:type="band1Horz">
      <w:tcPr>
        <w:tcBorders>
          <w:top w:val="single" w:color="008ED3" w:themeColor="text1" w:sz="4" w:space="0"/>
          <w:bottom w:val="single" w:color="008ED3" w:themeColor="tex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008ED3" w:themeColor="text1" w:sz="4" w:space="0"/>
          <w:left w:val="nil"/>
        </w:tcBorders>
      </w:tcPr>
    </w:tblStylePr>
    <w:tblStylePr w:type="swCell">
      <w:tcPr>
        <w:tcBorders>
          <w:top w:val="double" w:color="008ED3" w:themeColor="text1" w:sz="4" w:space="0"/>
          <w:right w:val="nil"/>
        </w:tcBorders>
      </w:tcPr>
    </w:tblStylePr>
  </w:style>
  <w:style w:type="table" w:customStyle="1" w:styleId="285">
    <w:name w:val="清单表 3 - 着色 51"/>
    <w:basedOn w:val="56"/>
    <w:qFormat/>
    <w:uiPriority w:val="48"/>
    <w:tblPr>
      <w:tblBorders>
        <w:top w:val="single" w:color="8DC642" w:themeColor="accent5" w:sz="4" w:space="0"/>
        <w:left w:val="single" w:color="8DC642" w:themeColor="accent5" w:sz="4" w:space="0"/>
        <w:bottom w:val="single" w:color="8DC642" w:themeColor="accent5" w:sz="4" w:space="0"/>
        <w:right w:val="single" w:color="8DC642" w:themeColor="accent5" w:sz="4" w:space="0"/>
      </w:tblBorders>
    </w:tblPr>
    <w:tblStylePr w:type="firstRow">
      <w:rPr>
        <w:b/>
        <w:bCs/>
        <w:color w:val="FFFFFF" w:themeColor="background1"/>
        <w14:textFill>
          <w14:solidFill>
            <w14:schemeClr w14:val="bg1"/>
          </w14:solidFill>
        </w14:textFill>
      </w:rPr>
      <w:tcPr>
        <w:shd w:val="clear" w:color="auto" w:fill="8DC642" w:themeFill="accent5"/>
      </w:tcPr>
    </w:tblStylePr>
    <w:tblStylePr w:type="lastRow">
      <w:rPr>
        <w:b/>
        <w:bCs/>
      </w:rPr>
      <w:tcPr>
        <w:tcBorders>
          <w:top w:val="double" w:color="8DC642" w:themeColor="accent5"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8DC642" w:themeColor="accent5" w:sz="4" w:space="0"/>
          <w:right w:val="single" w:color="8DC642" w:themeColor="accent5" w:sz="4" w:space="0"/>
        </w:tcBorders>
      </w:tcPr>
    </w:tblStylePr>
    <w:tblStylePr w:type="band1Horz">
      <w:tcPr>
        <w:tcBorders>
          <w:top w:val="single" w:color="8DC642" w:themeColor="accent5" w:sz="4" w:space="0"/>
          <w:bottom w:val="single" w:color="8DC642" w:themeColor="accent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8DC642" w:themeColor="accent5" w:sz="4" w:space="0"/>
          <w:left w:val="nil"/>
        </w:tcBorders>
      </w:tcPr>
    </w:tblStylePr>
    <w:tblStylePr w:type="swCell">
      <w:tcPr>
        <w:tcBorders>
          <w:top w:val="double" w:color="8DC642" w:themeColor="accent5" w:sz="4" w:space="0"/>
          <w:right w:val="nil"/>
        </w:tcBorders>
      </w:tcPr>
    </w:tblStylePr>
  </w:style>
  <w:style w:type="table" w:customStyle="1" w:styleId="286">
    <w:name w:val="网格表 3 - 着色 21"/>
    <w:basedOn w:val="56"/>
    <w:qFormat/>
    <w:uiPriority w:val="48"/>
    <w:tblPr>
      <w:tblBorders>
        <w:top w:val="single" w:color="A0E0F5" w:themeColor="accent2" w:themeTint="99" w:sz="4" w:space="0"/>
        <w:left w:val="single" w:color="A0E0F5" w:themeColor="accent2" w:themeTint="99" w:sz="4" w:space="0"/>
        <w:bottom w:val="single" w:color="A0E0F5" w:themeColor="accent2" w:themeTint="99" w:sz="4" w:space="0"/>
        <w:right w:val="single" w:color="A0E0F5" w:themeColor="accent2" w:themeTint="99" w:sz="4" w:space="0"/>
        <w:insideH w:val="single" w:color="A0E0F5" w:themeColor="accent2" w:themeTint="99" w:sz="4" w:space="0"/>
        <w:insideV w:val="single" w:color="A0E0F5"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FF4FB" w:themeFill="accent2" w:themeFillTint="33"/>
      </w:tcPr>
    </w:tblStylePr>
    <w:tblStylePr w:type="band1Horz">
      <w:tcPr>
        <w:shd w:val="clear" w:color="auto" w:fill="DFF4FB" w:themeFill="accent2" w:themeFillTint="33"/>
      </w:tcPr>
    </w:tblStylePr>
    <w:tblStylePr w:type="neCell">
      <w:tcPr>
        <w:tcBorders>
          <w:bottom w:val="single" w:color="A0E0F5" w:themeColor="accent2" w:themeTint="99" w:sz="4" w:space="0"/>
        </w:tcBorders>
      </w:tcPr>
    </w:tblStylePr>
    <w:tblStylePr w:type="nwCell">
      <w:tcPr>
        <w:tcBorders>
          <w:bottom w:val="single" w:color="A0E0F5" w:themeColor="accent2" w:themeTint="99" w:sz="4" w:space="0"/>
        </w:tcBorders>
      </w:tcPr>
    </w:tblStylePr>
    <w:tblStylePr w:type="seCell">
      <w:tcPr>
        <w:tcBorders>
          <w:top w:val="single" w:color="A0E0F5" w:themeColor="accent2" w:themeTint="99" w:sz="4" w:space="0"/>
        </w:tcBorders>
      </w:tcPr>
    </w:tblStylePr>
    <w:tblStylePr w:type="swCell">
      <w:tcPr>
        <w:tcBorders>
          <w:top w:val="single" w:color="A0E0F5" w:themeColor="accent2" w:themeTint="99" w:sz="4" w:space="0"/>
        </w:tcBorders>
      </w:tcPr>
    </w:tblStylePr>
  </w:style>
  <w:style w:type="table" w:customStyle="1" w:styleId="287">
    <w:name w:val="网格表 41"/>
    <w:basedOn w:val="56"/>
    <w:qFormat/>
    <w:uiPriority w:val="49"/>
    <w:tblPr>
      <w:tblBorders>
        <w:top w:val="single" w:color="4BC4FF" w:themeColor="text1" w:themeTint="99" w:sz="4" w:space="0"/>
        <w:left w:val="single" w:color="4BC4FF" w:themeColor="text1" w:themeTint="99" w:sz="4" w:space="0"/>
        <w:bottom w:val="single" w:color="4BC4FF" w:themeColor="text1" w:themeTint="99" w:sz="4" w:space="0"/>
        <w:right w:val="single" w:color="4BC4FF" w:themeColor="text1" w:themeTint="99" w:sz="4" w:space="0"/>
        <w:insideH w:val="single" w:color="4BC4FF" w:themeColor="text1" w:themeTint="99" w:sz="4" w:space="0"/>
        <w:insideV w:val="single" w:color="4BC4FF" w:themeColor="text1" w:themeTint="99" w:sz="4" w:space="0"/>
      </w:tblBorders>
    </w:tblPr>
    <w:tblStylePr w:type="firstRow">
      <w:rPr>
        <w:b/>
        <w:bCs/>
        <w:color w:val="FFFFFF" w:themeColor="background1"/>
        <w14:textFill>
          <w14:solidFill>
            <w14:schemeClr w14:val="bg1"/>
          </w14:solidFill>
        </w14:textFill>
      </w:rPr>
      <w:tcPr>
        <w:tcBorders>
          <w:top w:val="single" w:color="008ED3" w:themeColor="text1" w:sz="4" w:space="0"/>
          <w:left w:val="single" w:color="008ED3" w:themeColor="text1" w:sz="4" w:space="0"/>
          <w:bottom w:val="single" w:color="008ED3" w:themeColor="text1" w:sz="4" w:space="0"/>
          <w:right w:val="single" w:color="008ED3" w:themeColor="text1" w:sz="4" w:space="0"/>
          <w:insideH w:val="nil"/>
          <w:insideV w:val="nil"/>
        </w:tcBorders>
        <w:shd w:val="clear" w:color="auto" w:fill="008ED3" w:themeFill="text1"/>
      </w:tcPr>
    </w:tblStylePr>
    <w:tblStylePr w:type="lastRow">
      <w:rPr>
        <w:b/>
        <w:bCs/>
      </w:rPr>
      <w:tcPr>
        <w:tcBorders>
          <w:top w:val="double" w:color="008ED3" w:themeColor="text1" w:sz="4" w:space="0"/>
        </w:tcBorders>
      </w:tcPr>
    </w:tblStylePr>
    <w:tblStylePr w:type="firstCol">
      <w:rPr>
        <w:b/>
        <w:bCs/>
      </w:rPr>
    </w:tblStylePr>
    <w:tblStylePr w:type="lastCol">
      <w:rPr>
        <w:b/>
        <w:bCs/>
      </w:rPr>
    </w:tblStylePr>
    <w:tblStylePr w:type="band1Vert">
      <w:tcPr>
        <w:shd w:val="clear" w:color="auto" w:fill="C3EBFF" w:themeFill="text1" w:themeFillTint="33"/>
      </w:tcPr>
    </w:tblStylePr>
    <w:tblStylePr w:type="band1Horz">
      <w:tcPr>
        <w:shd w:val="clear" w:color="auto" w:fill="C3EBFF" w:themeFill="text1" w:themeFillTint="33"/>
      </w:tcPr>
    </w:tblStylePr>
  </w:style>
  <w:style w:type="table" w:customStyle="1" w:styleId="288">
    <w:name w:val="清单表 4 - 着色 21"/>
    <w:basedOn w:val="56"/>
    <w:qFormat/>
    <w:uiPriority w:val="49"/>
    <w:tblPr>
      <w:tblBorders>
        <w:top w:val="single" w:color="A0E0F5" w:themeColor="accent2" w:themeTint="99" w:sz="4" w:space="0"/>
        <w:left w:val="single" w:color="A0E0F5" w:themeColor="accent2" w:themeTint="99" w:sz="4" w:space="0"/>
        <w:bottom w:val="single" w:color="A0E0F5" w:themeColor="accent2" w:themeTint="99" w:sz="4" w:space="0"/>
        <w:right w:val="single" w:color="A0E0F5" w:themeColor="accent2" w:themeTint="99" w:sz="4" w:space="0"/>
        <w:insideH w:val="single" w:color="A0E0F5" w:themeColor="accent2" w:themeTint="99" w:sz="4" w:space="0"/>
      </w:tblBorders>
    </w:tblPr>
    <w:tblStylePr w:type="firstRow">
      <w:rPr>
        <w:b/>
        <w:bCs/>
        <w:color w:val="FFFFFF" w:themeColor="background1"/>
        <w14:textFill>
          <w14:solidFill>
            <w14:schemeClr w14:val="bg1"/>
          </w14:solidFill>
        </w14:textFill>
      </w:rPr>
      <w:tcPr>
        <w:tcBorders>
          <w:top w:val="single" w:color="61CCF0" w:themeColor="accent2" w:sz="4" w:space="0"/>
          <w:left w:val="single" w:color="61CCF0" w:themeColor="accent2" w:sz="4" w:space="0"/>
          <w:bottom w:val="single" w:color="61CCF0" w:themeColor="accent2" w:sz="4" w:space="0"/>
          <w:right w:val="single" w:color="61CCF0" w:themeColor="accent2" w:sz="4" w:space="0"/>
          <w:insideH w:val="nil"/>
        </w:tcBorders>
        <w:shd w:val="clear" w:color="auto" w:fill="61CCF0" w:themeFill="accent2"/>
      </w:tcPr>
    </w:tblStylePr>
    <w:tblStylePr w:type="lastRow">
      <w:rPr>
        <w:b/>
        <w:bCs/>
      </w:rPr>
      <w:tcPr>
        <w:tcBorders>
          <w:top w:val="double" w:color="A0E0F5" w:themeColor="accent2" w:themeTint="99" w:sz="4" w:space="0"/>
        </w:tcBorders>
      </w:tcPr>
    </w:tblStylePr>
    <w:tblStylePr w:type="firstCol">
      <w:rPr>
        <w:b/>
        <w:bCs/>
      </w:rPr>
    </w:tblStylePr>
    <w:tblStylePr w:type="lastCol">
      <w:rPr>
        <w:b/>
        <w:bCs/>
      </w:rPr>
    </w:tblStylePr>
    <w:tblStylePr w:type="band1Vert">
      <w:tcPr>
        <w:shd w:val="clear" w:color="auto" w:fill="DFF4FB" w:themeFill="accent2" w:themeFillTint="33"/>
      </w:tcPr>
    </w:tblStylePr>
    <w:tblStylePr w:type="band1Horz">
      <w:tcPr>
        <w:shd w:val="clear" w:color="auto" w:fill="DFF4FB" w:themeFill="accent2" w:themeFillTint="33"/>
      </w:tcPr>
    </w:tblStylePr>
  </w:style>
  <w:style w:type="table" w:customStyle="1" w:styleId="289">
    <w:name w:val="网格表 1 浅色 - 着色 61"/>
    <w:basedOn w:val="56"/>
    <w:qFormat/>
    <w:uiPriority w:val="46"/>
    <w:tblPr>
      <w:tblBorders>
        <w:top w:val="single" w:color="BBBCBD" w:themeColor="accent6" w:themeTint="66" w:sz="4" w:space="0"/>
        <w:left w:val="single" w:color="BBBCBD" w:themeColor="accent6" w:themeTint="66" w:sz="4" w:space="0"/>
        <w:bottom w:val="single" w:color="BBBCBD" w:themeColor="accent6" w:themeTint="66" w:sz="4" w:space="0"/>
        <w:right w:val="single" w:color="BBBCBD" w:themeColor="accent6" w:themeTint="66" w:sz="4" w:space="0"/>
        <w:insideH w:val="single" w:color="BBBCBD" w:themeColor="accent6" w:themeTint="66" w:sz="4" w:space="0"/>
        <w:insideV w:val="single" w:color="BBBCBD" w:themeColor="accent6" w:themeTint="66" w:sz="4" w:space="0"/>
      </w:tblBorders>
    </w:tblPr>
    <w:tblStylePr w:type="firstRow">
      <w:rPr>
        <w:b/>
        <w:bCs/>
      </w:rPr>
      <w:tcPr>
        <w:tcBorders>
          <w:bottom w:val="single" w:color="9A9B9D" w:themeColor="accent6" w:themeTint="99" w:sz="12" w:space="0"/>
        </w:tcBorders>
      </w:tcPr>
    </w:tblStylePr>
    <w:tblStylePr w:type="lastRow">
      <w:rPr>
        <w:b/>
        <w:bCs/>
      </w:rPr>
      <w:tcPr>
        <w:tcBorders>
          <w:top w:val="double" w:color="9A9B9D" w:themeColor="accent6" w:themeTint="99" w:sz="2" w:space="0"/>
        </w:tcBorders>
      </w:tcPr>
    </w:tblStylePr>
    <w:tblStylePr w:type="firstCol">
      <w:rPr>
        <w:b/>
        <w:bCs/>
      </w:rPr>
    </w:tblStylePr>
    <w:tblStylePr w:type="lastCol">
      <w:rPr>
        <w:b/>
        <w:bCs/>
      </w:rPr>
    </w:tblStylePr>
  </w:style>
  <w:style w:type="table" w:customStyle="1" w:styleId="290">
    <w:name w:val="网格表 1 浅色 - 着色 21"/>
    <w:basedOn w:val="56"/>
    <w:qFormat/>
    <w:uiPriority w:val="46"/>
    <w:tblPr>
      <w:tblBorders>
        <w:top w:val="single" w:color="BFEAF8" w:themeColor="accent2" w:themeTint="66" w:sz="4" w:space="0"/>
        <w:left w:val="single" w:color="BFEAF8" w:themeColor="accent2" w:themeTint="66" w:sz="4" w:space="0"/>
        <w:bottom w:val="single" w:color="BFEAF8" w:themeColor="accent2" w:themeTint="66" w:sz="4" w:space="0"/>
        <w:right w:val="single" w:color="BFEAF8" w:themeColor="accent2" w:themeTint="66" w:sz="4" w:space="0"/>
        <w:insideH w:val="single" w:color="BFEAF8" w:themeColor="accent2" w:themeTint="66" w:sz="4" w:space="0"/>
        <w:insideV w:val="single" w:color="BFEAF8" w:themeColor="accent2" w:themeTint="66" w:sz="4" w:space="0"/>
      </w:tblBorders>
    </w:tblPr>
    <w:tblStylePr w:type="firstRow">
      <w:rPr>
        <w:b/>
        <w:bCs/>
      </w:rPr>
      <w:tcPr>
        <w:tcBorders>
          <w:bottom w:val="single" w:color="A0E0F5" w:themeColor="accent2" w:themeTint="99" w:sz="12" w:space="0"/>
        </w:tcBorders>
      </w:tcPr>
    </w:tblStylePr>
    <w:tblStylePr w:type="lastRow">
      <w:rPr>
        <w:b/>
        <w:bCs/>
      </w:rPr>
      <w:tcPr>
        <w:tcBorders>
          <w:top w:val="double" w:color="A0E0F5" w:themeColor="accent2" w:themeTint="99" w:sz="2" w:space="0"/>
        </w:tcBorders>
      </w:tcPr>
    </w:tblStylePr>
    <w:tblStylePr w:type="firstCol">
      <w:rPr>
        <w:b/>
        <w:bCs/>
      </w:rPr>
    </w:tblStylePr>
    <w:tblStylePr w:type="lastCol">
      <w:rPr>
        <w:b/>
        <w:bCs/>
      </w:rPr>
    </w:tblStylePr>
  </w:style>
  <w:style w:type="table" w:customStyle="1" w:styleId="291">
    <w:name w:val="网格表 31"/>
    <w:basedOn w:val="56"/>
    <w:qFormat/>
    <w:uiPriority w:val="48"/>
    <w:tblPr>
      <w:tblBorders>
        <w:top w:val="single" w:color="4BC4FF" w:themeColor="text1" w:themeTint="99" w:sz="4" w:space="0"/>
        <w:left w:val="single" w:color="4BC4FF" w:themeColor="text1" w:themeTint="99" w:sz="4" w:space="0"/>
        <w:bottom w:val="single" w:color="4BC4FF" w:themeColor="text1" w:themeTint="99" w:sz="4" w:space="0"/>
        <w:right w:val="single" w:color="4BC4FF" w:themeColor="text1" w:themeTint="99" w:sz="4" w:space="0"/>
        <w:insideH w:val="single" w:color="4BC4FF" w:themeColor="text1" w:themeTint="99" w:sz="4" w:space="0"/>
        <w:insideV w:val="single" w:color="4BC4FF"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3EBFF" w:themeFill="text1" w:themeFillTint="33"/>
      </w:tcPr>
    </w:tblStylePr>
    <w:tblStylePr w:type="band1Horz">
      <w:tcPr>
        <w:shd w:val="clear" w:color="auto" w:fill="C3EBFF" w:themeFill="text1" w:themeFillTint="33"/>
      </w:tcPr>
    </w:tblStylePr>
    <w:tblStylePr w:type="neCell">
      <w:tcPr>
        <w:tcBorders>
          <w:bottom w:val="single" w:color="4BC4FF" w:themeColor="text1" w:themeTint="99" w:sz="4" w:space="0"/>
        </w:tcBorders>
      </w:tcPr>
    </w:tblStylePr>
    <w:tblStylePr w:type="nwCell">
      <w:tcPr>
        <w:tcBorders>
          <w:bottom w:val="single" w:color="4BC4FF" w:themeColor="text1" w:themeTint="99" w:sz="4" w:space="0"/>
        </w:tcBorders>
      </w:tcPr>
    </w:tblStylePr>
    <w:tblStylePr w:type="seCell">
      <w:tcPr>
        <w:tcBorders>
          <w:top w:val="single" w:color="4BC4FF" w:themeColor="text1" w:themeTint="99" w:sz="4" w:space="0"/>
        </w:tcBorders>
      </w:tcPr>
    </w:tblStylePr>
    <w:tblStylePr w:type="swCell">
      <w:tcPr>
        <w:tcBorders>
          <w:top w:val="single" w:color="4BC4FF" w:themeColor="text1" w:themeTint="99" w:sz="4" w:space="0"/>
        </w:tcBorders>
      </w:tcPr>
    </w:tblStylePr>
  </w:style>
  <w:style w:type="table" w:customStyle="1" w:styleId="292">
    <w:name w:val="网格表 4 - 着色 61"/>
    <w:basedOn w:val="56"/>
    <w:qFormat/>
    <w:uiPriority w:val="49"/>
    <w:tblPr>
      <w:tblBorders>
        <w:top w:val="single" w:color="9A9B9D" w:themeColor="accent6" w:themeTint="99" w:sz="4" w:space="0"/>
        <w:left w:val="single" w:color="9A9B9D" w:themeColor="accent6" w:themeTint="99" w:sz="4" w:space="0"/>
        <w:bottom w:val="single" w:color="9A9B9D" w:themeColor="accent6" w:themeTint="99" w:sz="4" w:space="0"/>
        <w:right w:val="single" w:color="9A9B9D" w:themeColor="accent6" w:themeTint="99" w:sz="4" w:space="0"/>
        <w:insideH w:val="single" w:color="9A9B9D" w:themeColor="accent6" w:themeTint="99" w:sz="4" w:space="0"/>
        <w:insideV w:val="single" w:color="9A9B9D" w:themeColor="accent6" w:themeTint="99" w:sz="4" w:space="0"/>
      </w:tblBorders>
    </w:tblPr>
    <w:tblStylePr w:type="firstRow">
      <w:rPr>
        <w:b/>
        <w:bCs/>
        <w:color w:val="FFFFFF" w:themeColor="background1"/>
        <w14:textFill>
          <w14:solidFill>
            <w14:schemeClr w14:val="bg1"/>
          </w14:solidFill>
        </w14:textFill>
      </w:rPr>
      <w:tcPr>
        <w:tcBorders>
          <w:top w:val="single" w:color="58595B" w:themeColor="accent6" w:sz="4" w:space="0"/>
          <w:left w:val="single" w:color="58595B" w:themeColor="accent6" w:sz="4" w:space="0"/>
          <w:bottom w:val="single" w:color="58595B" w:themeColor="accent6" w:sz="4" w:space="0"/>
          <w:right w:val="single" w:color="58595B" w:themeColor="accent6" w:sz="4" w:space="0"/>
          <w:insideH w:val="nil"/>
          <w:insideV w:val="nil"/>
        </w:tcBorders>
        <w:shd w:val="clear" w:color="auto" w:fill="58595B" w:themeFill="accent6"/>
      </w:tcPr>
    </w:tblStylePr>
    <w:tblStylePr w:type="lastRow">
      <w:rPr>
        <w:b/>
        <w:bCs/>
      </w:rPr>
      <w:tcPr>
        <w:tcBorders>
          <w:top w:val="double" w:color="58595B" w:themeColor="accent6" w:sz="4" w:space="0"/>
        </w:tcBorders>
      </w:tcPr>
    </w:tblStylePr>
    <w:tblStylePr w:type="firstCol">
      <w:rPr>
        <w:b/>
        <w:bCs/>
      </w:rPr>
    </w:tblStylePr>
    <w:tblStylePr w:type="lastCol">
      <w:rPr>
        <w:b/>
        <w:bCs/>
      </w:rPr>
    </w:tblStylePr>
    <w:tblStylePr w:type="band1Vert">
      <w:tcPr>
        <w:shd w:val="clear" w:color="auto" w:fill="DDDDDE" w:themeFill="accent6" w:themeFillTint="33"/>
      </w:tcPr>
    </w:tblStylePr>
    <w:tblStylePr w:type="band1Horz">
      <w:tcPr>
        <w:shd w:val="clear" w:color="auto" w:fill="DDDDDE" w:themeFill="accent6" w:themeFillTint="33"/>
      </w:tcPr>
    </w:tblStylePr>
  </w:style>
  <w:style w:type="table" w:customStyle="1" w:styleId="293">
    <w:name w:val="网格表 5 深色1"/>
    <w:basedOn w:val="56"/>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3EBFF"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8ED3"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8ED3"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8ED3"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8ED3" w:themeFill="text1"/>
      </w:tcPr>
    </w:tblStylePr>
    <w:tblStylePr w:type="band1Vert">
      <w:tcPr>
        <w:shd w:val="clear" w:color="auto" w:fill="87D7FF" w:themeFill="text1" w:themeFillTint="66"/>
      </w:tcPr>
    </w:tblStylePr>
    <w:tblStylePr w:type="band1Horz">
      <w:tcPr>
        <w:shd w:val="clear" w:color="auto" w:fill="87D7FF" w:themeFill="text1" w:themeFillTint="66"/>
      </w:tcPr>
    </w:tblStylePr>
  </w:style>
  <w:style w:type="table" w:customStyle="1" w:styleId="294">
    <w:name w:val="网格表 5 深色 - 着色 21"/>
    <w:basedOn w:val="56"/>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FF4FB" w:themeFill="accent2"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61CCF0" w:themeFill="accent2"/>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61CCF0" w:themeFill="accent2"/>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61CCF0" w:themeFill="accent2"/>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61CCF0" w:themeFill="accent2"/>
      </w:tcPr>
    </w:tblStylePr>
    <w:tblStylePr w:type="band1Vert">
      <w:tcPr>
        <w:shd w:val="clear" w:color="auto" w:fill="BFEAF8" w:themeFill="accent2" w:themeFillTint="66"/>
      </w:tcPr>
    </w:tblStylePr>
    <w:tblStylePr w:type="band1Horz">
      <w:tcPr>
        <w:shd w:val="clear" w:color="auto" w:fill="BFEAF8" w:themeFill="accent2" w:themeFillTint="66"/>
      </w:tcPr>
    </w:tblStylePr>
  </w:style>
  <w:style w:type="table" w:customStyle="1" w:styleId="295">
    <w:name w:val="清单表 5 深色1"/>
    <w:basedOn w:val="56"/>
    <w:qFormat/>
    <w:uiPriority w:val="50"/>
    <w:rPr>
      <w:color w:val="FFFFFF" w:themeColor="background1"/>
      <w14:textFill>
        <w14:solidFill>
          <w14:schemeClr w14:val="bg1"/>
        </w14:solidFill>
      </w14:textFill>
    </w:rPr>
    <w:tblPr>
      <w:tblBorders>
        <w:top w:val="single" w:color="008ED3" w:themeColor="text1" w:sz="24" w:space="0"/>
        <w:left w:val="single" w:color="008ED3" w:themeColor="text1" w:sz="24" w:space="0"/>
        <w:bottom w:val="single" w:color="008ED3" w:themeColor="text1" w:sz="24" w:space="0"/>
        <w:right w:val="single" w:color="008ED3" w:themeColor="text1" w:sz="24" w:space="0"/>
      </w:tblBorders>
    </w:tblPr>
    <w:tcPr>
      <w:shd w:val="clear" w:color="auto" w:fill="008ED3" w:themeFill="tex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96">
    <w:name w:val="清单表 7 彩色1"/>
    <w:basedOn w:val="56"/>
    <w:qFormat/>
    <w:uiPriority w:val="52"/>
    <w:rPr>
      <w:color w:val="008ED3" w:themeColor="text1"/>
      <w14:textFill>
        <w14:solidFill>
          <w14:schemeClr w14:val="tx1"/>
        </w14:solidFill>
      </w14:textFill>
    </w:rPr>
    <w:tblStylePr w:type="firstRow">
      <w:rPr>
        <w:rFonts w:asciiTheme="majorHAnsi" w:hAnsiTheme="majorHAnsi" w:eastAsiaTheme="majorEastAsia" w:cstheme="majorBidi"/>
        <w:i/>
        <w:iCs/>
        <w:sz w:val="26"/>
      </w:rPr>
      <w:tcPr>
        <w:tcBorders>
          <w:bottom w:val="single" w:color="008ED3"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8ED3"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8ED3"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8ED3" w:themeColor="text1" w:sz="4" w:space="0"/>
        </w:tcBorders>
        <w:shd w:val="clear" w:color="auto" w:fill="FFFFFF" w:themeFill="background1"/>
      </w:tcPr>
    </w:tblStylePr>
    <w:tblStylePr w:type="band1Vert">
      <w:tcPr>
        <w:shd w:val="clear" w:color="auto" w:fill="C3EBFF" w:themeFill="text1" w:themeFillTint="33"/>
      </w:tcPr>
    </w:tblStylePr>
    <w:tblStylePr w:type="band1Horz">
      <w:tcPr>
        <w:shd w:val="clear" w:color="auto" w:fill="C3EBFF"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97">
    <w:name w:val="网格表 4 - 着色 41"/>
    <w:basedOn w:val="56"/>
    <w:qFormat/>
    <w:uiPriority w:val="49"/>
    <w:tblPr>
      <w:tblBorders>
        <w:top w:val="single" w:color="D467D2" w:themeColor="accent4" w:themeTint="99" w:sz="4" w:space="0"/>
        <w:left w:val="single" w:color="D467D2" w:themeColor="accent4" w:themeTint="99" w:sz="4" w:space="0"/>
        <w:bottom w:val="single" w:color="D467D2" w:themeColor="accent4" w:themeTint="99" w:sz="4" w:space="0"/>
        <w:right w:val="single" w:color="D467D2" w:themeColor="accent4" w:themeTint="99" w:sz="4" w:space="0"/>
        <w:insideH w:val="single" w:color="D467D2" w:themeColor="accent4" w:themeTint="99" w:sz="4" w:space="0"/>
        <w:insideV w:val="single" w:color="D467D2" w:themeColor="accent4" w:themeTint="99" w:sz="4" w:space="0"/>
      </w:tblBorders>
    </w:tblPr>
    <w:tblStylePr w:type="firstRow">
      <w:rPr>
        <w:b/>
        <w:bCs/>
        <w:color w:val="FFFFFF" w:themeColor="background1"/>
        <w14:textFill>
          <w14:solidFill>
            <w14:schemeClr w14:val="bg1"/>
          </w14:solidFill>
        </w14:textFill>
      </w:rPr>
      <w:tcPr>
        <w:tcBorders>
          <w:top w:val="single" w:color="922990" w:themeColor="accent4" w:sz="4" w:space="0"/>
          <w:left w:val="single" w:color="922990" w:themeColor="accent4" w:sz="4" w:space="0"/>
          <w:bottom w:val="single" w:color="922990" w:themeColor="accent4" w:sz="4" w:space="0"/>
          <w:right w:val="single" w:color="922990" w:themeColor="accent4" w:sz="4" w:space="0"/>
          <w:insideH w:val="nil"/>
          <w:insideV w:val="nil"/>
        </w:tcBorders>
        <w:shd w:val="clear" w:color="auto" w:fill="922990" w:themeFill="accent4"/>
      </w:tcPr>
    </w:tblStylePr>
    <w:tblStylePr w:type="lastRow">
      <w:rPr>
        <w:b/>
        <w:bCs/>
      </w:rPr>
      <w:tcPr>
        <w:tcBorders>
          <w:top w:val="double" w:color="922990" w:themeColor="accent4" w:sz="4" w:space="0"/>
        </w:tcBorders>
      </w:tcPr>
    </w:tblStylePr>
    <w:tblStylePr w:type="firstCol">
      <w:rPr>
        <w:b/>
        <w:bCs/>
      </w:rPr>
    </w:tblStylePr>
    <w:tblStylePr w:type="lastCol">
      <w:rPr>
        <w:b/>
        <w:bCs/>
      </w:rPr>
    </w:tblStylePr>
    <w:tblStylePr w:type="band1Vert">
      <w:tcPr>
        <w:shd w:val="clear" w:color="auto" w:fill="F0CCF0" w:themeFill="accent4" w:themeFillTint="33"/>
      </w:tcPr>
    </w:tblStylePr>
    <w:tblStylePr w:type="band1Horz">
      <w:tcPr>
        <w:shd w:val="clear" w:color="auto" w:fill="F0CCF0" w:themeFill="accent4" w:themeFillTint="33"/>
      </w:tcPr>
    </w:tblStylePr>
  </w:style>
  <w:style w:type="table" w:customStyle="1" w:styleId="298">
    <w:name w:val="网格表 4 - 着色 21"/>
    <w:basedOn w:val="56"/>
    <w:qFormat/>
    <w:uiPriority w:val="49"/>
    <w:tblPr>
      <w:tblBorders>
        <w:top w:val="single" w:color="A0E0F5" w:themeColor="accent2" w:themeTint="99" w:sz="4" w:space="0"/>
        <w:left w:val="single" w:color="A0E0F5" w:themeColor="accent2" w:themeTint="99" w:sz="4" w:space="0"/>
        <w:bottom w:val="single" w:color="A0E0F5" w:themeColor="accent2" w:themeTint="99" w:sz="4" w:space="0"/>
        <w:right w:val="single" w:color="A0E0F5" w:themeColor="accent2" w:themeTint="99" w:sz="4" w:space="0"/>
        <w:insideH w:val="single" w:color="A0E0F5" w:themeColor="accent2" w:themeTint="99" w:sz="4" w:space="0"/>
        <w:insideV w:val="single" w:color="A0E0F5" w:themeColor="accent2" w:themeTint="99" w:sz="4" w:space="0"/>
      </w:tblBorders>
    </w:tblPr>
    <w:tblStylePr w:type="firstRow">
      <w:rPr>
        <w:b/>
        <w:bCs/>
        <w:color w:val="FFFFFF" w:themeColor="background1"/>
        <w14:textFill>
          <w14:solidFill>
            <w14:schemeClr w14:val="bg1"/>
          </w14:solidFill>
        </w14:textFill>
      </w:rPr>
      <w:tcPr>
        <w:tcBorders>
          <w:top w:val="single" w:color="61CCF0" w:themeColor="accent2" w:sz="4" w:space="0"/>
          <w:left w:val="single" w:color="61CCF0" w:themeColor="accent2" w:sz="4" w:space="0"/>
          <w:bottom w:val="single" w:color="61CCF0" w:themeColor="accent2" w:sz="4" w:space="0"/>
          <w:right w:val="single" w:color="61CCF0" w:themeColor="accent2" w:sz="4" w:space="0"/>
          <w:insideH w:val="nil"/>
          <w:insideV w:val="nil"/>
        </w:tcBorders>
        <w:shd w:val="clear" w:color="auto" w:fill="61CCF0" w:themeFill="accent2"/>
      </w:tcPr>
    </w:tblStylePr>
    <w:tblStylePr w:type="lastRow">
      <w:rPr>
        <w:b/>
        <w:bCs/>
      </w:rPr>
      <w:tcPr>
        <w:tcBorders>
          <w:top w:val="double" w:color="61CCF0" w:themeColor="accent2" w:sz="4" w:space="0"/>
        </w:tcBorders>
      </w:tcPr>
    </w:tblStylePr>
    <w:tblStylePr w:type="firstCol">
      <w:rPr>
        <w:b/>
        <w:bCs/>
      </w:rPr>
    </w:tblStylePr>
    <w:tblStylePr w:type="lastCol">
      <w:rPr>
        <w:b/>
        <w:bCs/>
      </w:rPr>
    </w:tblStylePr>
    <w:tblStylePr w:type="band1Vert">
      <w:tcPr>
        <w:shd w:val="clear" w:color="auto" w:fill="DFF4FB" w:themeFill="accent2" w:themeFillTint="33"/>
      </w:tcPr>
    </w:tblStylePr>
    <w:tblStylePr w:type="band1Horz">
      <w:tcPr>
        <w:shd w:val="clear" w:color="auto" w:fill="DFF4FB" w:themeFill="accent2" w:themeFillTint="33"/>
      </w:tcPr>
    </w:tblStylePr>
  </w:style>
  <w:style w:type="table" w:customStyle="1" w:styleId="299">
    <w:name w:val="清单表 3 - 着色 61"/>
    <w:basedOn w:val="56"/>
    <w:qFormat/>
    <w:uiPriority w:val="48"/>
    <w:tblPr>
      <w:tblBorders>
        <w:top w:val="single" w:color="58595B" w:themeColor="accent6" w:sz="4" w:space="0"/>
        <w:left w:val="single" w:color="58595B" w:themeColor="accent6" w:sz="4" w:space="0"/>
        <w:bottom w:val="single" w:color="58595B" w:themeColor="accent6" w:sz="4" w:space="0"/>
        <w:right w:val="single" w:color="58595B" w:themeColor="accent6" w:sz="4" w:space="0"/>
      </w:tblBorders>
    </w:tblPr>
    <w:tblStylePr w:type="firstRow">
      <w:rPr>
        <w:b/>
        <w:bCs/>
        <w:color w:val="FFFFFF" w:themeColor="background1"/>
        <w14:textFill>
          <w14:solidFill>
            <w14:schemeClr w14:val="bg1"/>
          </w14:solidFill>
        </w14:textFill>
      </w:rPr>
      <w:tcPr>
        <w:shd w:val="clear" w:color="auto" w:fill="58595B" w:themeFill="accent6"/>
      </w:tcPr>
    </w:tblStylePr>
    <w:tblStylePr w:type="lastRow">
      <w:rPr>
        <w:b/>
        <w:bCs/>
      </w:rPr>
      <w:tcPr>
        <w:tcBorders>
          <w:top w:val="double" w:color="58595B" w:themeColor="accent6"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58595B" w:themeColor="accent6" w:sz="4" w:space="0"/>
          <w:right w:val="single" w:color="58595B" w:themeColor="accent6" w:sz="4" w:space="0"/>
        </w:tcBorders>
      </w:tcPr>
    </w:tblStylePr>
    <w:tblStylePr w:type="band1Horz">
      <w:tcPr>
        <w:tcBorders>
          <w:top w:val="single" w:color="58595B" w:themeColor="accent6" w:sz="4" w:space="0"/>
          <w:bottom w:val="single" w:color="58595B" w:themeColor="accent6"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58595B" w:themeColor="accent6" w:sz="4" w:space="0"/>
          <w:left w:val="nil"/>
        </w:tcBorders>
      </w:tcPr>
    </w:tblStylePr>
    <w:tblStylePr w:type="swCell">
      <w:tcPr>
        <w:tcBorders>
          <w:top w:val="double" w:color="58595B" w:themeColor="accent6" w:sz="4" w:space="0"/>
          <w:right w:val="nil"/>
        </w:tcBorders>
      </w:tcPr>
    </w:tblStylePr>
  </w:style>
  <w:style w:type="table" w:customStyle="1" w:styleId="300">
    <w:name w:val="清单表 41"/>
    <w:basedOn w:val="56"/>
    <w:qFormat/>
    <w:uiPriority w:val="49"/>
    <w:tblPr>
      <w:tblBorders>
        <w:top w:val="single" w:color="4BC4FF" w:themeColor="text1" w:themeTint="99" w:sz="4" w:space="0"/>
        <w:left w:val="single" w:color="4BC4FF" w:themeColor="text1" w:themeTint="99" w:sz="4" w:space="0"/>
        <w:bottom w:val="single" w:color="4BC4FF" w:themeColor="text1" w:themeTint="99" w:sz="4" w:space="0"/>
        <w:right w:val="single" w:color="4BC4FF" w:themeColor="text1" w:themeTint="99" w:sz="4" w:space="0"/>
        <w:insideH w:val="single" w:color="4BC4FF" w:themeColor="text1" w:themeTint="99" w:sz="4" w:space="0"/>
      </w:tblBorders>
    </w:tblPr>
    <w:tblStylePr w:type="firstRow">
      <w:rPr>
        <w:b/>
        <w:bCs/>
        <w:color w:val="FFFFFF" w:themeColor="background1"/>
        <w14:textFill>
          <w14:solidFill>
            <w14:schemeClr w14:val="bg1"/>
          </w14:solidFill>
        </w14:textFill>
      </w:rPr>
      <w:tcPr>
        <w:tcBorders>
          <w:top w:val="single" w:color="008ED3" w:themeColor="text1" w:sz="4" w:space="0"/>
          <w:left w:val="single" w:color="008ED3" w:themeColor="text1" w:sz="4" w:space="0"/>
          <w:bottom w:val="single" w:color="008ED3" w:themeColor="text1" w:sz="4" w:space="0"/>
          <w:right w:val="single" w:color="008ED3" w:themeColor="text1" w:sz="4" w:space="0"/>
          <w:insideH w:val="nil"/>
        </w:tcBorders>
        <w:shd w:val="clear" w:color="auto" w:fill="008ED3" w:themeFill="text1"/>
      </w:tcPr>
    </w:tblStylePr>
    <w:tblStylePr w:type="lastRow">
      <w:rPr>
        <w:b/>
        <w:bCs/>
      </w:rPr>
      <w:tcPr>
        <w:tcBorders>
          <w:top w:val="double" w:color="4BC4FF" w:themeColor="text1" w:themeTint="99" w:sz="4" w:space="0"/>
        </w:tcBorders>
      </w:tcPr>
    </w:tblStylePr>
    <w:tblStylePr w:type="firstCol">
      <w:rPr>
        <w:b/>
        <w:bCs/>
      </w:rPr>
    </w:tblStylePr>
    <w:tblStylePr w:type="lastCol">
      <w:rPr>
        <w:b/>
        <w:bCs/>
      </w:rPr>
    </w:tblStylePr>
    <w:tblStylePr w:type="band1Vert">
      <w:tcPr>
        <w:shd w:val="clear" w:color="auto" w:fill="C3EBFF" w:themeFill="text1" w:themeFillTint="33"/>
      </w:tcPr>
    </w:tblStylePr>
    <w:tblStylePr w:type="band1Horz">
      <w:tcPr>
        <w:shd w:val="clear" w:color="auto" w:fill="C3EBFF" w:themeFill="text1" w:themeFillTint="33"/>
      </w:tcPr>
    </w:tblStylePr>
  </w:style>
  <w:style w:type="table" w:customStyle="1" w:styleId="301">
    <w:name w:val="网格表 7 彩色 - 着色 61"/>
    <w:basedOn w:val="56"/>
    <w:qFormat/>
    <w:uiPriority w:val="52"/>
    <w:rPr>
      <w:color w:val="424344" w:themeColor="accent6" w:themeShade="BF"/>
    </w:rPr>
    <w:tblPr>
      <w:tblBorders>
        <w:top w:val="single" w:color="9A9B9D" w:themeColor="accent6" w:themeTint="99" w:sz="4" w:space="0"/>
        <w:left w:val="single" w:color="9A9B9D" w:themeColor="accent6" w:themeTint="99" w:sz="4" w:space="0"/>
        <w:bottom w:val="single" w:color="9A9B9D" w:themeColor="accent6" w:themeTint="99" w:sz="4" w:space="0"/>
        <w:right w:val="single" w:color="9A9B9D" w:themeColor="accent6" w:themeTint="99" w:sz="4" w:space="0"/>
        <w:insideH w:val="single" w:color="9A9B9D" w:themeColor="accent6" w:themeTint="99" w:sz="4" w:space="0"/>
        <w:insideV w:val="single" w:color="9A9B9D"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DDDDE" w:themeFill="accent6" w:themeFillTint="33"/>
      </w:tcPr>
    </w:tblStylePr>
    <w:tblStylePr w:type="band1Horz">
      <w:tcPr>
        <w:shd w:val="clear" w:color="auto" w:fill="DDDDDE" w:themeFill="accent6" w:themeFillTint="33"/>
      </w:tcPr>
    </w:tblStylePr>
    <w:tblStylePr w:type="neCell">
      <w:tcPr>
        <w:tcBorders>
          <w:bottom w:val="single" w:color="9A9B9D" w:themeColor="accent6" w:themeTint="99" w:sz="4" w:space="0"/>
        </w:tcBorders>
      </w:tcPr>
    </w:tblStylePr>
    <w:tblStylePr w:type="nwCell">
      <w:tcPr>
        <w:tcBorders>
          <w:bottom w:val="single" w:color="9A9B9D" w:themeColor="accent6" w:themeTint="99" w:sz="4" w:space="0"/>
        </w:tcBorders>
      </w:tcPr>
    </w:tblStylePr>
    <w:tblStylePr w:type="seCell">
      <w:tcPr>
        <w:tcBorders>
          <w:top w:val="single" w:color="9A9B9D" w:themeColor="accent6" w:themeTint="99" w:sz="4" w:space="0"/>
        </w:tcBorders>
      </w:tcPr>
    </w:tblStylePr>
    <w:tblStylePr w:type="swCell">
      <w:tcPr>
        <w:tcBorders>
          <w:top w:val="single" w:color="9A9B9D" w:themeColor="accent6" w:themeTint="99" w:sz="4" w:space="0"/>
        </w:tcBorders>
      </w:tcPr>
    </w:tblStylePr>
  </w:style>
  <w:style w:type="table" w:customStyle="1" w:styleId="302">
    <w:name w:val="网格表 5 深色 - 着色 51"/>
    <w:basedOn w:val="56"/>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8F3D9"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8DC642"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8DC642"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8DC642"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8DC642" w:themeFill="accent5"/>
      </w:tcPr>
    </w:tblStylePr>
    <w:tblStylePr w:type="band1Vert">
      <w:tcPr>
        <w:shd w:val="clear" w:color="auto" w:fill="D1E8B3" w:themeFill="accent5" w:themeFillTint="66"/>
      </w:tcPr>
    </w:tblStylePr>
    <w:tblStylePr w:type="band1Horz">
      <w:tcPr>
        <w:shd w:val="clear" w:color="auto" w:fill="D1E8B3" w:themeFill="accent5" w:themeFillTint="66"/>
      </w:tcPr>
    </w:tblStylePr>
  </w:style>
  <w:style w:type="table" w:customStyle="1" w:styleId="303">
    <w:name w:val="清单表 6 彩色1"/>
    <w:basedOn w:val="56"/>
    <w:qFormat/>
    <w:uiPriority w:val="51"/>
    <w:rPr>
      <w:color w:val="008ED3" w:themeColor="text1"/>
      <w14:textFill>
        <w14:solidFill>
          <w14:schemeClr w14:val="tx1"/>
        </w14:solidFill>
      </w14:textFill>
    </w:rPr>
    <w:tblPr>
      <w:tblBorders>
        <w:top w:val="single" w:color="008ED3" w:themeColor="text1" w:sz="4" w:space="0"/>
        <w:bottom w:val="single" w:color="008ED3" w:themeColor="text1" w:sz="4" w:space="0"/>
      </w:tblBorders>
    </w:tblPr>
    <w:tblStylePr w:type="firstRow">
      <w:rPr>
        <w:b/>
        <w:bCs/>
      </w:rPr>
      <w:tcPr>
        <w:tcBorders>
          <w:bottom w:val="single" w:color="008ED3" w:themeColor="text1" w:sz="4" w:space="0"/>
        </w:tcBorders>
      </w:tcPr>
    </w:tblStylePr>
    <w:tblStylePr w:type="lastRow">
      <w:rPr>
        <w:b/>
        <w:bCs/>
      </w:rPr>
      <w:tcPr>
        <w:tcBorders>
          <w:top w:val="double" w:color="008ED3" w:themeColor="text1" w:sz="4" w:space="0"/>
        </w:tcBorders>
      </w:tcPr>
    </w:tblStylePr>
    <w:tblStylePr w:type="firstCol">
      <w:rPr>
        <w:b/>
        <w:bCs/>
      </w:rPr>
    </w:tblStylePr>
    <w:tblStylePr w:type="lastCol">
      <w:rPr>
        <w:b/>
        <w:bCs/>
      </w:rPr>
    </w:tblStylePr>
    <w:tblStylePr w:type="band1Vert">
      <w:tcPr>
        <w:shd w:val="clear" w:color="auto" w:fill="C3EBFF" w:themeFill="text1" w:themeFillTint="33"/>
      </w:tcPr>
    </w:tblStylePr>
    <w:tblStylePr w:type="band1Horz">
      <w:tcPr>
        <w:shd w:val="clear" w:color="auto" w:fill="C3EBFF" w:themeFill="text1" w:themeFillTint="33"/>
      </w:tcPr>
    </w:tblStylePr>
  </w:style>
  <w:style w:type="paragraph" w:customStyle="1" w:styleId="30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305">
    <w:name w:val="列出段落1"/>
    <w:basedOn w:val="1"/>
    <w:semiHidden/>
    <w:qFormat/>
    <w:uiPriority w:val="0"/>
    <w:pPr>
      <w:spacing w:before="100" w:beforeAutospacing="1" w:line="256" w:lineRule="auto"/>
      <w:ind w:firstLine="420" w:firstLineChars="200"/>
    </w:pPr>
    <w:rPr>
      <w:rFonts w:eastAsia="宋体"/>
      <w:szCs w:val="21"/>
    </w:rPr>
  </w:style>
  <w:style w:type="table" w:customStyle="1" w:styleId="306">
    <w:name w:val="网格表 4 - 着色 51"/>
    <w:basedOn w:val="56"/>
    <w:qFormat/>
    <w:uiPriority w:val="0"/>
    <w:rPr>
      <w:rFonts w:eastAsia="Times New Roman"/>
    </w:rPr>
    <w:tblPr>
      <w:tblBorders>
        <w:top w:val="single" w:color="BADC8D" w:sz="4" w:space="0"/>
        <w:left w:val="single" w:color="BADC8D" w:sz="4" w:space="0"/>
        <w:bottom w:val="single" w:color="BADC8D" w:sz="4" w:space="0"/>
        <w:right w:val="single" w:color="BADC8D" w:sz="4" w:space="0"/>
        <w:insideH w:val="single" w:color="BADC8D" w:sz="4" w:space="0"/>
        <w:insideV w:val="single" w:color="BADC8D" w:sz="4" w:space="0"/>
      </w:tblBorders>
    </w:tblPr>
    <w:tblStylePr w:type="firstRow">
      <w:rPr>
        <w:rFonts w:hint="default" w:ascii="Times New Roman" w:hAnsi="Times New Roman" w:cs="Times New Roman"/>
        <w:b/>
        <w:bCs/>
        <w:color w:val="FFFFFF"/>
      </w:rPr>
      <w:tcPr>
        <w:tcBorders>
          <w:top w:val="single" w:color="8DC642" w:sz="4" w:space="0"/>
          <w:left w:val="single" w:color="8DC642" w:sz="4" w:space="0"/>
          <w:bottom w:val="single" w:color="8DC642" w:sz="4" w:space="0"/>
          <w:right w:val="single" w:color="8DC642" w:sz="4" w:space="0"/>
          <w:insideH w:val="nil"/>
          <w:insideV w:val="nil"/>
        </w:tcBorders>
        <w:shd w:val="clear" w:color="auto" w:fill="8DC642"/>
      </w:tcPr>
    </w:tblStylePr>
    <w:tblStylePr w:type="lastRow">
      <w:rPr>
        <w:rFonts w:hint="default" w:ascii="Times New Roman" w:hAnsi="Times New Roman" w:cs="Times New Roman"/>
        <w:b/>
        <w:bCs/>
      </w:rPr>
      <w:tcPr>
        <w:tcBorders>
          <w:top w:val="double" w:color="8DC642" w:sz="2"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tcPr>
        <w:shd w:val="clear" w:color="auto" w:fill="E8F3D9"/>
      </w:tcPr>
    </w:tblStylePr>
    <w:tblStylePr w:type="band1Horz">
      <w:tcPr>
        <w:shd w:val="clear" w:color="auto" w:fill="E8F3D9"/>
      </w:tcPr>
    </w:tblStyle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7597F9-2003-4344-A8D9-0305CCC20820}">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11</Pages>
  <Words>3119</Words>
  <Characters>17780</Characters>
  <Lines>148</Lines>
  <Paragraphs>41</Paragraphs>
  <TotalTime>4</TotalTime>
  <ScaleCrop>false</ScaleCrop>
  <LinksUpToDate>false</LinksUpToDate>
  <CharactersWithSpaces>20858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2022-08-08T13:07:00Z</dcterms:created>
  <dc:creator>10033860</dc:creator>
  <cp:lastModifiedBy>ZTE(Zhihong)</cp:lastModifiedBy>
  <cp:lastPrinted>2113-01-01T00:00:00Z</cp:lastPrinted>
  <dcterms:modified xsi:type="dcterms:W3CDTF">2022-11-04T04:31:55Z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